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F38" w:rsidRDefault="0096751C">
      <w:pPr>
        <w:pStyle w:val="Proposal"/>
        <w:snapToGrid w:val="0"/>
        <w:ind w:left="1701" w:hanging="1701"/>
        <w:rPr>
          <w:rFonts w:ascii="Arial" w:hAnsi="Arial" w:cs="Arial"/>
          <w:b w:val="0"/>
          <w:bCs w:val="0"/>
          <w:sz w:val="22"/>
        </w:rPr>
      </w:pPr>
      <w:bookmarkStart w:id="0" w:name="OLE_LINK1"/>
      <w:bookmarkStart w:id="1" w:name="OLE_LINK2"/>
      <w:r>
        <w:rPr>
          <w:rFonts w:ascii="Arial" w:hAnsi="Arial" w:cs="Arial"/>
          <w:sz w:val="22"/>
        </w:rPr>
        <w:t>3GPP TSG RAN WG1 #10</w:t>
      </w:r>
      <w:r>
        <w:rPr>
          <w:rFonts w:ascii="Arial" w:hAnsi="Arial" w:cs="Arial" w:hint="eastAsia"/>
          <w:sz w:val="22"/>
        </w:rPr>
        <w:t>7</w:t>
      </w:r>
      <w:r>
        <w:rPr>
          <w:rFonts w:ascii="Arial" w:hAnsi="Arial" w:cs="Arial"/>
          <w:sz w:val="22"/>
        </w:rPr>
        <w:t>-e</w:t>
      </w:r>
      <w:r>
        <w:rPr>
          <w:rFonts w:ascii="Arial" w:hAnsi="Arial" w:cs="Arial"/>
          <w:sz w:val="22"/>
        </w:rPr>
        <w:tab/>
      </w:r>
      <w:r>
        <w:rPr>
          <w:rFonts w:ascii="Arial" w:hAnsi="Arial" w:cs="Arial"/>
          <w:sz w:val="22"/>
        </w:rPr>
        <w:tab/>
        <w:t xml:space="preserve"> </w:t>
      </w:r>
      <w:r>
        <w:rPr>
          <w:rFonts w:ascii="Arial" w:hAnsi="Arial" w:cs="Arial"/>
          <w:sz w:val="22"/>
        </w:rPr>
        <w:tab/>
        <w:t xml:space="preserve">                                   R1-</w:t>
      </w:r>
      <w:r w:rsidR="00BC781B">
        <w:rPr>
          <w:rFonts w:ascii="Arial" w:hAnsi="Arial" w:cs="Arial"/>
          <w:sz w:val="22"/>
        </w:rPr>
        <w:t>2111659</w:t>
      </w:r>
    </w:p>
    <w:p w:rsidR="00EA0F38" w:rsidRDefault="0096751C">
      <w:pPr>
        <w:pStyle w:val="Proposal"/>
        <w:snapToGrid w:val="0"/>
        <w:ind w:left="1701" w:hanging="1701"/>
        <w:rPr>
          <w:rFonts w:ascii="Arial" w:hAnsi="Arial" w:cs="Arial"/>
          <w:b w:val="0"/>
          <w:bCs w:val="0"/>
          <w:sz w:val="22"/>
        </w:rPr>
      </w:pPr>
      <w:proofErr w:type="gramStart"/>
      <w:r>
        <w:rPr>
          <w:rFonts w:ascii="Arial" w:hAnsi="Arial" w:cs="Arial"/>
          <w:sz w:val="22"/>
        </w:rPr>
        <w:t>e-Meeting</w:t>
      </w:r>
      <w:proofErr w:type="gramEnd"/>
      <w:r>
        <w:rPr>
          <w:rFonts w:ascii="Arial" w:hAnsi="Arial" w:cs="Arial"/>
          <w:sz w:val="22"/>
        </w:rPr>
        <w:t xml:space="preserve">, </w:t>
      </w:r>
      <w:r>
        <w:rPr>
          <w:rFonts w:ascii="Arial" w:hAnsi="Arial" w:cs="Arial" w:hint="eastAsia"/>
          <w:sz w:val="22"/>
        </w:rPr>
        <w:t>November 11</w:t>
      </w:r>
      <w:r>
        <w:rPr>
          <w:rFonts w:ascii="Arial" w:hAnsi="Arial" w:cs="Arial"/>
          <w:sz w:val="22"/>
          <w:vertAlign w:val="superscript"/>
        </w:rPr>
        <w:t>th</w:t>
      </w:r>
      <w:r>
        <w:rPr>
          <w:rFonts w:ascii="Arial" w:hAnsi="Arial" w:cs="Arial"/>
          <w:sz w:val="22"/>
        </w:rPr>
        <w:t xml:space="preserve"> –</w:t>
      </w:r>
      <w:r>
        <w:rPr>
          <w:rFonts w:ascii="Arial" w:hAnsi="Arial" w:cs="Arial" w:hint="eastAsia"/>
          <w:sz w:val="22"/>
        </w:rPr>
        <w:t>19</w:t>
      </w:r>
      <w:r>
        <w:rPr>
          <w:rFonts w:ascii="Arial" w:hAnsi="Arial" w:cs="Arial"/>
          <w:sz w:val="22"/>
          <w:vertAlign w:val="superscript"/>
        </w:rPr>
        <w:t>th</w:t>
      </w:r>
      <w:r>
        <w:rPr>
          <w:rFonts w:ascii="Arial" w:hAnsi="Arial" w:cs="Arial"/>
          <w:sz w:val="22"/>
        </w:rPr>
        <w:t>, 202</w:t>
      </w:r>
      <w:r>
        <w:rPr>
          <w:rFonts w:ascii="Arial" w:hAnsi="Arial" w:cs="Arial" w:hint="eastAsia"/>
          <w:sz w:val="22"/>
        </w:rPr>
        <w:t>1</w:t>
      </w:r>
    </w:p>
    <w:p w:rsidR="00EA0F38" w:rsidRDefault="00EA0F38">
      <w:pPr>
        <w:pStyle w:val="3GPPHeader"/>
        <w:snapToGrid w:val="0"/>
        <w:rPr>
          <w:rFonts w:cs="Arial"/>
          <w:sz w:val="22"/>
        </w:rPr>
      </w:pPr>
    </w:p>
    <w:p w:rsidR="00EA0F38" w:rsidRDefault="0096751C">
      <w:pPr>
        <w:pStyle w:val="3GPPHeader"/>
        <w:snapToGrid w:val="0"/>
        <w:rPr>
          <w:rFonts w:cs="Arial"/>
          <w:sz w:val="22"/>
        </w:rPr>
      </w:pPr>
      <w:r>
        <w:rPr>
          <w:rFonts w:cs="Arial"/>
          <w:sz w:val="22"/>
        </w:rPr>
        <w:t>Source:</w:t>
      </w:r>
      <w:r>
        <w:rPr>
          <w:rFonts w:cs="Arial"/>
          <w:sz w:val="22"/>
        </w:rPr>
        <w:tab/>
        <w:t>ZTE</w:t>
      </w:r>
    </w:p>
    <w:p w:rsidR="00EA0F38" w:rsidRDefault="0096751C">
      <w:pPr>
        <w:pStyle w:val="3GPPHeader"/>
        <w:snapToGrid w:val="0"/>
        <w:rPr>
          <w:rFonts w:cs="Arial"/>
          <w:sz w:val="22"/>
        </w:rPr>
      </w:pPr>
      <w:r>
        <w:rPr>
          <w:rFonts w:cs="Arial"/>
          <w:sz w:val="22"/>
        </w:rPr>
        <w:t>Title:</w:t>
      </w:r>
      <w:r>
        <w:rPr>
          <w:rFonts w:cs="Arial"/>
          <w:sz w:val="22"/>
        </w:rPr>
        <w:tab/>
      </w:r>
      <w:r>
        <w:rPr>
          <w:rFonts w:cs="Arial" w:hint="eastAsia"/>
          <w:sz w:val="22"/>
        </w:rPr>
        <w:t xml:space="preserve">Discussion on </w:t>
      </w:r>
      <w:r>
        <w:rPr>
          <w:rFonts w:cs="Arial"/>
          <w:sz w:val="22"/>
        </w:rPr>
        <w:t>UL</w:t>
      </w:r>
      <w:r>
        <w:rPr>
          <w:rFonts w:cs="Arial" w:hint="eastAsia"/>
          <w:sz w:val="22"/>
        </w:rPr>
        <w:t xml:space="preserve"> synchronization </w:t>
      </w:r>
      <w:r>
        <w:rPr>
          <w:rFonts w:cs="Arial"/>
          <w:sz w:val="22"/>
        </w:rPr>
        <w:t>for NR</w:t>
      </w:r>
      <w:r>
        <w:rPr>
          <w:rFonts w:cs="Arial" w:hint="eastAsia"/>
          <w:sz w:val="22"/>
        </w:rPr>
        <w:t>-</w:t>
      </w:r>
      <w:r>
        <w:rPr>
          <w:rFonts w:cs="Arial"/>
          <w:sz w:val="22"/>
        </w:rPr>
        <w:t>NTN</w:t>
      </w:r>
    </w:p>
    <w:p w:rsidR="00EA0F38" w:rsidRDefault="0096751C">
      <w:pPr>
        <w:pStyle w:val="3GPPHeader"/>
        <w:snapToGrid w:val="0"/>
        <w:rPr>
          <w:rFonts w:cs="Arial"/>
          <w:sz w:val="22"/>
        </w:rPr>
      </w:pPr>
      <w:r>
        <w:rPr>
          <w:rFonts w:cs="Arial"/>
          <w:sz w:val="22"/>
        </w:rPr>
        <w:t>Agenda Item:</w:t>
      </w:r>
      <w:r>
        <w:rPr>
          <w:rFonts w:cs="Arial"/>
          <w:sz w:val="22"/>
        </w:rPr>
        <w:tab/>
        <w:t>8.</w:t>
      </w:r>
      <w:r>
        <w:rPr>
          <w:rFonts w:cs="Arial" w:hint="eastAsia"/>
          <w:sz w:val="22"/>
        </w:rPr>
        <w:t>4.2</w:t>
      </w:r>
    </w:p>
    <w:p w:rsidR="00EA0F38" w:rsidRDefault="0096751C">
      <w:pPr>
        <w:pBdr>
          <w:bottom w:val="single" w:sz="6" w:space="1" w:color="auto"/>
        </w:pBdr>
        <w:snapToGrid w:val="0"/>
        <w:rPr>
          <w:rFonts w:ascii="Arial" w:hAnsi="Arial"/>
          <w:b/>
        </w:rPr>
      </w:pPr>
      <w:r>
        <w:rPr>
          <w:rFonts w:ascii="Arial" w:hAnsi="Arial"/>
          <w:b/>
        </w:rPr>
        <w:t>Document for:  Discussion</w:t>
      </w:r>
      <w:bookmarkEnd w:id="0"/>
      <w:bookmarkEnd w:id="1"/>
    </w:p>
    <w:p w:rsidR="00EA0F38" w:rsidRDefault="0096751C">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rsidR="00EA0F38" w:rsidRDefault="0096751C">
      <w:pPr>
        <w:spacing w:afterLines="50" w:after="120" w:line="240" w:lineRule="auto"/>
        <w:ind w:firstLine="420"/>
        <w:rPr>
          <w:rFonts w:ascii="Times New Roman" w:hAnsi="Times New Roman"/>
          <w:i/>
          <w:iCs/>
          <w:sz w:val="20"/>
          <w:szCs w:val="20"/>
          <w:highlight w:val="yellow"/>
        </w:rPr>
      </w:pPr>
      <w:r>
        <w:rPr>
          <w:rFonts w:ascii="Times New Roman" w:hAnsi="Times New Roman"/>
          <w:sz w:val="20"/>
          <w:szCs w:val="20"/>
        </w:rPr>
        <w:t>I</w:t>
      </w:r>
      <w:r>
        <w:rPr>
          <w:rFonts w:ascii="Times New Roman" w:hAnsi="Times New Roman"/>
          <w:sz w:val="20"/>
          <w:szCs w:val="20"/>
          <w:lang w:val="en-GB"/>
        </w:rPr>
        <w:t>n RAN</w:t>
      </w:r>
      <w:r>
        <w:rPr>
          <w:rFonts w:ascii="Times New Roman" w:hAnsi="Times New Roman" w:hint="eastAsia"/>
          <w:sz w:val="20"/>
          <w:szCs w:val="20"/>
        </w:rPr>
        <w:t>1#106b-e</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_Ref40282619 \r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xml:space="preserve">, the </w:t>
      </w:r>
      <w:r>
        <w:rPr>
          <w:rFonts w:ascii="Times New Roman" w:hAnsi="Times New Roman" w:hint="eastAsia"/>
          <w:sz w:val="20"/>
          <w:szCs w:val="20"/>
        </w:rPr>
        <w:t>followings have been agreed on UL synchronization for NTN.</w:t>
      </w:r>
    </w:p>
    <w:p w:rsidR="00EA0F38" w:rsidRDefault="0096751C">
      <w:pPr>
        <w:adjustRightInd w:val="0"/>
        <w:snapToGrid w:val="0"/>
        <w:spacing w:after="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EA0F38" w:rsidRDefault="0096751C">
      <w:pPr>
        <w:adjustRightInd w:val="0"/>
        <w:snapToGrid w:val="0"/>
        <w:spacing w:after="0" w:line="240" w:lineRule="auto"/>
        <w:ind w:leftChars="200" w:left="440"/>
        <w:jc w:val="both"/>
        <w:rPr>
          <w:rFonts w:ascii="Times New Roman" w:hAnsi="Times New Roman"/>
          <w:i/>
          <w:iCs/>
          <w:sz w:val="20"/>
          <w:szCs w:val="20"/>
        </w:rPr>
      </w:pPr>
      <w:r>
        <w:rPr>
          <w:rFonts w:ascii="Times New Roman" w:hAnsi="Times New Roman"/>
          <w:i/>
          <w:iCs/>
          <w:sz w:val="20"/>
          <w:szCs w:val="20"/>
        </w:rPr>
        <w:t>Confirm the working assumption:</w:t>
      </w:r>
    </w:p>
    <w:p w:rsidR="00EA0F38" w:rsidRDefault="0096751C">
      <w:pPr>
        <w:adjustRightInd w:val="0"/>
        <w:snapToGrid w:val="0"/>
        <w:spacing w:after="0" w:line="240" w:lineRule="auto"/>
        <w:ind w:leftChars="200" w:left="440"/>
        <w:jc w:val="both"/>
        <w:rPr>
          <w:rFonts w:ascii="Times New Roman" w:hAnsi="Times New Roman"/>
          <w:i/>
          <w:iCs/>
          <w:sz w:val="20"/>
          <w:szCs w:val="20"/>
        </w:rPr>
      </w:pPr>
      <w:r>
        <w:rPr>
          <w:rFonts w:ascii="Times New Roman" w:hAnsi="Times New Roman"/>
          <w:i/>
          <w:iCs/>
          <w:sz w:val="20"/>
          <w:szCs w:val="20"/>
        </w:rPr>
        <w:t>Common TA may include parameter(s) indicating timing drift.</w:t>
      </w:r>
    </w:p>
    <w:p w:rsidR="00EA0F38" w:rsidRDefault="0096751C">
      <w:pPr>
        <w:numPr>
          <w:ilvl w:val="0"/>
          <w:numId w:val="5"/>
        </w:numPr>
        <w:adjustRightInd w:val="0"/>
        <w:snapToGrid w:val="0"/>
        <w:spacing w:after="0" w:line="240" w:lineRule="auto"/>
        <w:jc w:val="both"/>
      </w:pPr>
      <w:r>
        <w:rPr>
          <w:rFonts w:ascii="Times New Roman" w:hAnsi="Times New Roman"/>
          <w:i/>
          <w:iCs/>
          <w:sz w:val="20"/>
          <w:szCs w:val="20"/>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EA0F38" w:rsidRDefault="0096751C">
      <w:pPr>
        <w:adjustRightInd w:val="0"/>
        <w:snapToGrid w:val="0"/>
        <w:spacing w:after="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EA0F38" w:rsidRDefault="0096751C">
      <w:pPr>
        <w:adjustRightInd w:val="0"/>
        <w:snapToGrid w:val="0"/>
        <w:spacing w:after="0" w:line="240" w:lineRule="auto"/>
        <w:ind w:left="420"/>
        <w:jc w:val="both"/>
        <w:rPr>
          <w:rFonts w:ascii="Times New Roman" w:hAnsi="Times New Roman"/>
          <w:i/>
          <w:iCs/>
          <w:sz w:val="20"/>
          <w:szCs w:val="20"/>
        </w:rPr>
      </w:pPr>
      <w:r>
        <w:rPr>
          <w:rFonts w:ascii="Times New Roman" w:hAnsi="Times New Roman"/>
          <w:i/>
          <w:iCs/>
          <w:sz w:val="20"/>
          <w:szCs w:val="20"/>
        </w:rPr>
        <w:t>Common TA Epoch time is implicitly known as a reference time defined by the starting time of a DL slot and/or frame.</w:t>
      </w:r>
    </w:p>
    <w:p w:rsidR="00EA0F38" w:rsidRDefault="0096751C">
      <w:pPr>
        <w:numPr>
          <w:ilvl w:val="0"/>
          <w:numId w:val="5"/>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FFS: Whether this starting time is given by predefined rule or it is indicated by the Network</w:t>
      </w:r>
    </w:p>
    <w:p w:rsidR="00EA0F38" w:rsidRDefault="0096751C">
      <w:pPr>
        <w:numPr>
          <w:ilvl w:val="1"/>
          <w:numId w:val="6"/>
        </w:numPr>
        <w:adjustRightInd w:val="0"/>
        <w:snapToGrid w:val="0"/>
        <w:spacing w:after="0" w:line="240" w:lineRule="auto"/>
      </w:pPr>
      <w:r>
        <w:rPr>
          <w:rFonts w:ascii="Times New Roman" w:hAnsi="Times New Roman" w:cs="Times New Roman"/>
          <w:i/>
          <w:iCs/>
          <w:sz w:val="20"/>
          <w:szCs w:val="20"/>
        </w:rPr>
        <w:t>Note: “implicitly known” means that UTC is not provided to define the Common TA epoch time.</w:t>
      </w:r>
    </w:p>
    <w:p w:rsidR="00EA0F38" w:rsidRDefault="0096751C">
      <w:pPr>
        <w:adjustRightInd w:val="0"/>
        <w:snapToGrid w:val="0"/>
        <w:spacing w:after="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EA0F38" w:rsidRDefault="0096751C">
      <w:pPr>
        <w:adjustRightInd w:val="0"/>
        <w:snapToGrid w:val="0"/>
        <w:spacing w:after="0" w:line="240" w:lineRule="auto"/>
        <w:ind w:leftChars="200" w:left="440"/>
        <w:jc w:val="both"/>
        <w:rPr>
          <w:rFonts w:ascii="Times New Roman" w:hAnsi="Times New Roman"/>
          <w:i/>
          <w:iCs/>
          <w:sz w:val="20"/>
          <w:szCs w:val="20"/>
        </w:rPr>
      </w:pPr>
      <w:r>
        <w:rPr>
          <w:rFonts w:ascii="Times New Roman" w:hAnsi="Times New Roman"/>
          <w:i/>
          <w:iCs/>
          <w:sz w:val="20"/>
          <w:szCs w:val="20"/>
        </w:rPr>
        <w:t>The UE assumes that it has lost uplink synchronization if new or additional assistance information (i.e. serving satellite ephemeris data or Common TA parameters) is not available within the associated validity duration.</w:t>
      </w:r>
    </w:p>
    <w:p w:rsidR="00EA0F38" w:rsidRDefault="0096751C">
      <w:pPr>
        <w:numPr>
          <w:ilvl w:val="0"/>
          <w:numId w:val="5"/>
        </w:numPr>
        <w:adjustRightInd w:val="0"/>
        <w:snapToGrid w:val="0"/>
        <w:spacing w:after="0" w:line="240" w:lineRule="auto"/>
        <w:jc w:val="both"/>
      </w:pPr>
      <w:r>
        <w:rPr>
          <w:rFonts w:ascii="Times New Roman" w:hAnsi="Times New Roman"/>
          <w:i/>
          <w:iCs/>
          <w:sz w:val="20"/>
          <w:szCs w:val="20"/>
        </w:rPr>
        <w:t>FFS: details on how to acquire new or additional assistance information</w:t>
      </w:r>
    </w:p>
    <w:p w:rsidR="00EA0F38" w:rsidRDefault="0096751C">
      <w:pPr>
        <w:adjustRightInd w:val="0"/>
        <w:snapToGrid w:val="0"/>
        <w:spacing w:after="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EA0F38" w:rsidRDefault="0096751C">
      <w:pPr>
        <w:adjustRightInd w:val="0"/>
        <w:snapToGrid w:val="0"/>
        <w:spacing w:after="0" w:line="240" w:lineRule="auto"/>
        <w:ind w:leftChars="200" w:left="440"/>
        <w:jc w:val="both"/>
      </w:pPr>
      <w:r>
        <w:rPr>
          <w:rFonts w:ascii="Times New Roman" w:hAnsi="Times New Roman"/>
          <w:i/>
          <w:iCs/>
          <w:sz w:val="20"/>
          <w:szCs w:val="20"/>
        </w:rPr>
        <w:t>NTN ephemeris validity timer should be started/restarted with configured timer validity duration at the epoch time of the assistance information (i.e. serving satellite ephemeris data)</w:t>
      </w:r>
    </w:p>
    <w:p w:rsidR="00EA0F38" w:rsidRDefault="0096751C">
      <w:pPr>
        <w:adjustRightInd w:val="0"/>
        <w:snapToGrid w:val="0"/>
        <w:spacing w:after="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EA0F38" w:rsidRDefault="0096751C">
      <w:pPr>
        <w:adjustRightInd w:val="0"/>
        <w:snapToGrid w:val="0"/>
        <w:spacing w:after="0" w:line="240" w:lineRule="auto"/>
        <w:ind w:leftChars="200" w:left="440"/>
        <w:jc w:val="both"/>
      </w:pPr>
      <w:r>
        <w:rPr>
          <w:rFonts w:ascii="Times New Roman" w:hAnsi="Times New Roman"/>
          <w:i/>
          <w:iCs/>
          <w:sz w:val="20"/>
          <w:szCs w:val="20"/>
        </w:rPr>
        <w:t xml:space="preserve">A single validity duration for both serving satellite ephemeris and common TA related parameters is defined at least if serving satellite ephemeris and common TA related parameters are signaled in the same SIB message. </w:t>
      </w:r>
    </w:p>
    <w:p w:rsidR="00EA0F38" w:rsidRDefault="0096751C">
      <w:pPr>
        <w:adjustRightInd w:val="0"/>
        <w:snapToGrid w:val="0"/>
        <w:spacing w:after="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EA0F38" w:rsidRDefault="0096751C">
      <w:pPr>
        <w:adjustRightInd w:val="0"/>
        <w:snapToGrid w:val="0"/>
        <w:spacing w:after="0" w:line="240" w:lineRule="auto"/>
        <w:ind w:left="420"/>
        <w:jc w:val="both"/>
        <w:rPr>
          <w:rFonts w:ascii="Times New Roman" w:hAnsi="Times New Roman"/>
          <w:i/>
          <w:iCs/>
          <w:sz w:val="20"/>
          <w:szCs w:val="20"/>
        </w:rPr>
      </w:pPr>
      <w:r>
        <w:rPr>
          <w:rFonts w:ascii="Times New Roman" w:hAnsi="Times New Roman"/>
          <w:i/>
          <w:iCs/>
          <w:sz w:val="20"/>
          <w:szCs w:val="20"/>
        </w:rPr>
        <w:t>In NTN, the Network may optionally indicate one or more of the following parameters:</w:t>
      </w:r>
    </w:p>
    <w:p w:rsidR="00EA0F38" w:rsidRDefault="0096751C">
      <w:pPr>
        <w:numPr>
          <w:ilvl w:val="0"/>
          <w:numId w:val="5"/>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Common TA, Common TA drift rate and Common TA drift rate variation.</w:t>
      </w:r>
    </w:p>
    <w:p w:rsidR="00EA0F38" w:rsidRDefault="0096751C">
      <w:pPr>
        <w:numPr>
          <w:ilvl w:val="0"/>
          <w:numId w:val="5"/>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FFS: Common TA third order derivative.</w:t>
      </w:r>
    </w:p>
    <w:p w:rsidR="00EA0F38" w:rsidRDefault="0096751C">
      <w:pPr>
        <w:numPr>
          <w:ilvl w:val="0"/>
          <w:numId w:val="5"/>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FFS: Details of combination of Common TA parameters</w:t>
      </w:r>
    </w:p>
    <w:p w:rsidR="00EA0F38" w:rsidRDefault="0096751C">
      <w:pPr>
        <w:adjustRightInd w:val="0"/>
        <w:snapToGrid w:val="0"/>
        <w:spacing w:after="0" w:line="240" w:lineRule="auto"/>
        <w:ind w:leftChars="200" w:left="440"/>
        <w:jc w:val="both"/>
        <w:rPr>
          <w:rFonts w:ascii="Times New Roman" w:hAnsi="Times New Roman"/>
          <w:i/>
          <w:iCs/>
          <w:sz w:val="20"/>
          <w:szCs w:val="20"/>
          <w:highlight w:val="green"/>
        </w:rPr>
      </w:pPr>
      <w:r>
        <w:rPr>
          <w:rFonts w:ascii="Times New Roman" w:hAnsi="Times New Roman"/>
          <w:i/>
          <w:iCs/>
          <w:sz w:val="20"/>
          <w:szCs w:val="20"/>
          <w:highlight w:val="green"/>
        </w:rPr>
        <w:t>Agreement:</w:t>
      </w:r>
    </w:p>
    <w:p w:rsidR="00EA0F38" w:rsidRDefault="0096751C">
      <w:pPr>
        <w:numPr>
          <w:ilvl w:val="0"/>
          <w:numId w:val="5"/>
        </w:numPr>
        <w:adjustRightInd w:val="0"/>
        <w:snapToGrid w:val="0"/>
        <w:spacing w:after="0" w:line="240" w:lineRule="auto"/>
        <w:jc w:val="both"/>
        <w:rPr>
          <w:rFonts w:ascii="Times New Roman" w:hAnsi="Times New Roman"/>
          <w:i/>
          <w:iCs/>
          <w:sz w:val="20"/>
          <w:szCs w:val="20"/>
        </w:rPr>
      </w:pPr>
      <w:r>
        <w:rPr>
          <w:rFonts w:ascii="Times New Roman" w:hAnsi="Times New Roman"/>
          <w:i/>
          <w:iCs/>
          <w:sz w:val="20"/>
          <w:szCs w:val="20"/>
        </w:rPr>
        <w:t xml:space="preserve">The granularity of Common TA is set to be </w:t>
      </w:r>
      <w:r>
        <w:rPr>
          <w:rFonts w:ascii="Times New Roman" w:hAnsi="Times New Roman"/>
          <w:i/>
          <w:iCs/>
          <w:sz w:val="20"/>
          <w:szCs w:val="20"/>
        </w:rPr>
        <w:fldChar w:fldCharType="begin"/>
      </w:r>
      <w:r>
        <w:rPr>
          <w:rFonts w:ascii="Times New Roman" w:hAnsi="Times New Roman"/>
          <w:i/>
          <w:iCs/>
          <w:sz w:val="20"/>
          <w:szCs w:val="20"/>
        </w:rPr>
        <w:instrText xml:space="preserve"> QUOTE </w:instrText>
      </w:r>
      <w:r w:rsidR="00052A59">
        <w:rPr>
          <w:rFonts w:ascii="Times New Roman" w:hAnsi="Times New Roman"/>
          <w:i/>
          <w:iCs/>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1C37&quot;/&gt;&lt;wsp:rsid wsp:val=&quot;000126BD&quot;/&gt;&lt;wsp:rsid wsp:val=&quot;0002062C&quot;/&gt;&lt;wsp:rsid wsp:val=&quot;0002164C&quot;/&gt;&lt;wsp:rsid wsp:val=&quot;00031A81&quot;/&gt;&lt;wsp:rsid wsp:val=&quot;00031B93&quot;/&gt;&lt;wsp:rsid wsp:val=&quot;00034074&quot;/&gt;&lt;wsp:rsid wsp:val=&quot;00041E1F&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07A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3D8&quot;/&gt;&lt;wsp:rsid wsp:val=&quot;000B283D&quot;/&gt;&lt;wsp:rsid wsp:val=&quot;000B4259&quot;/&gt;&lt;wsp:rsid wsp:val=&quot;000C04E5&quot;/&gt;&lt;wsp:rsid wsp:val=&quot;000C1E89&quot;/&gt;&lt;wsp:rsid wsp:val=&quot;000C256E&quot;/&gt;&lt;wsp:rsid wsp:val=&quot;000E5FC6&quot;/&gt;&lt;wsp:rsid wsp:val=&quot;000F25A5&quot;/&gt;&lt;wsp:rsid wsp:val=&quot;000F32DC&quot;/&gt;&lt;wsp:rsid wsp:val=&quot;000F58F5&quot;/&gt;&lt;wsp:rsid wsp:val=&quot;00107245&quot;/&gt;&lt;wsp:rsid wsp:val=&quot;0010768D&quot;/&gt;&lt;wsp:rsid wsp:val=&quot;00114AF8&quot;/&gt;&lt;wsp:rsid wsp:val=&quot;0012481F&quot;/&gt;&lt;wsp:rsid wsp:val=&quot;00125A76&quot;/&gt;&lt;wsp:rsid wsp:val=&quot;001359C4&quot;/&gt;&lt;wsp:rsid wsp:val=&quot;001402AA&quot;/&gt;&lt;wsp:rsid wsp:val=&quot;00140AFD&quot;/&gt;&lt;wsp:rsid wsp:val=&quot;0015372A&quot;/&gt;&lt;wsp:rsid wsp:val=&quot;00170DBA&quot;/&gt;&lt;wsp:rsid wsp:val=&quot;00181A11&quot;/&gt;&lt;wsp:rsid wsp:val=&quot;0018520E&quot;/&gt;&lt;wsp:rsid wsp:val=&quot;001B5D18&quot;/&gt;&lt;wsp:rsid wsp:val=&quot;001C3B7D&quot;/&gt;&lt;wsp:rsid wsp:val=&quot;001C40D9&quot;/&gt;&lt;wsp:rsid wsp:val=&quot;001C5A1B&quot;/&gt;&lt;wsp:rsid wsp:val=&quot;001F4B2C&quot;/&gt;&lt;wsp:rsid wsp:val=&quot;00204643&quot;/&gt;&lt;wsp:rsid wsp:val=&quot;002144C8&quot;/&gt;&lt;wsp:rsid wsp:val=&quot;00231522&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D61F6&quot;/&gt;&lt;wsp:rsid wsp:val=&quot;002F0188&quot;/&gt;&lt;wsp:rsid wsp:val=&quot;002F1C88&quot;/&gt;&lt;wsp:rsid wsp:val=&quot;002F6243&quot;/&gt;&lt;wsp:rsid wsp:val=&quot;0031347D&quot;/&gt;&lt;wsp:rsid wsp:val=&quot;00342739&quot;/&gt;&lt;wsp:rsid wsp:val=&quot;00343041&quot;/&gt;&lt;wsp:rsid wsp:val=&quot;00345EEA&quot;/&gt;&lt;wsp:rsid wsp:val=&quot;003514B1&quot;/&gt;&lt;wsp:rsid wsp:val=&quot;00356A1A&quot;/&gt;&lt;wsp:rsid wsp:val=&quot;00377843&quot;/&gt;&lt;wsp:rsid wsp:val=&quot;0039582F&quot;/&gt;&lt;wsp:rsid wsp:val=&quot;003A3913&quot;/&gt;&lt;wsp:rsid wsp:val=&quot;003B1F78&quot;/&gt;&lt;wsp:rsid wsp:val=&quot;003B54C3&quot;/&gt;&lt;wsp:rsid wsp:val=&quot;003E7DF2&quot;/&gt;&lt;wsp:rsid wsp:val=&quot;003F30E5&quot;/&gt;&lt;wsp:rsid wsp:val=&quot;003F53E5&quot;/&gt;&lt;wsp:rsid wsp:val=&quot;003F6175&quot;/&gt;&lt;wsp:rsid wsp:val=&quot;00403B8D&quot;/&gt;&lt;wsp:rsid wsp:val=&quot;004059D6&quot;/&gt;&lt;wsp:rsid wsp:val=&quot;00443EAF&quot;/&gt;&lt;wsp:rsid wsp:val=&quot;00453797&quot;/&gt;&lt;wsp:rsid wsp:val=&quot;00454760&quot;/&gt;&lt;wsp:rsid wsp:val=&quot;00461301&quot;/&gt;&lt;wsp:rsid wsp:val=&quot;00462BD0&quot;/&gt;&lt;wsp:rsid wsp:val=&quot;00465CCE&quot;/&gt;&lt;wsp:rsid wsp:val=&quot;00467817&quot;/&gt;&lt;wsp:rsid wsp:val=&quot;0047126E&quot;/&gt;&lt;wsp:rsid wsp:val=&quot;00475014&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2DD3&quot;/&gt;&lt;wsp:rsid wsp:val=&quot;00544713&quot;/&gt;&lt;wsp:rsid wsp:val=&quot;00547773&quot;/&gt;&lt;wsp:rsid wsp:val=&quot;00551453&quot;/&gt;&lt;wsp:rsid wsp:val=&quot;00552E0F&quot;/&gt;&lt;wsp:rsid wsp:val=&quot;00570536&quot;/&gt;&lt;wsp:rsid wsp:val=&quot;005823D9&quot;/&gt;&lt;wsp:rsid wsp:val=&quot;005A1253&quot;/&gt;&lt;wsp:rsid wsp:val=&quot;005A2F2C&quot;/&gt;&lt;wsp:rsid wsp:val=&quot;005A505E&quot;/&gt;&lt;wsp:rsid wsp:val=&quot;005B26AB&quot;/&gt;&lt;wsp:rsid wsp:val=&quot;005B38CF&quot;/&gt;&lt;wsp:rsid wsp:val=&quot;005B5055&quot;/&gt;&lt;wsp:rsid wsp:val=&quot;005B5782&quot;/&gt;&lt;wsp:rsid wsp:val=&quot;005B5AC9&quot;/&gt;&lt;wsp:rsid wsp:val=&quot;005B5EA1&quot;/&gt;&lt;wsp:rsid wsp:val=&quot;005C2445&quot;/&gt;&lt;wsp:rsid wsp:val=&quot;005C5A33&quot;/&gt;&lt;wsp:rsid wsp:val=&quot;005D02EF&quot;/&gt;&lt;wsp:rsid wsp:val=&quot;005E3502&quot;/&gt;&lt;wsp:rsid wsp:val=&quot;005F23F8&quot;/&gt;&lt;wsp:rsid wsp:val=&quot;006115A3&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28AC&quot;/&gt;&lt;wsp:rsid wsp:val=&quot;006B50E1&quot;/&gt;&lt;wsp:rsid wsp:val=&quot;007436B8&quot;/&gt;&lt;wsp:rsid wsp:val=&quot;00753915&quot;/&gt;&lt;wsp:rsid wsp:val=&quot;00760708&quot;/&gt;&lt;wsp:rsid wsp:val=&quot;00761467&quot;/&gt;&lt;wsp:rsid wsp:val=&quot;00765261&quot;/&gt;&lt;wsp:rsid wsp:val=&quot;00774B4C&quot;/&gt;&lt;wsp:rsid wsp:val=&quot;007754C9&quot;/&gt;&lt;wsp:rsid wsp:val=&quot;00783B6F&quot;/&gt;&lt;wsp:rsid wsp:val=&quot;007850B3&quot;/&gt;&lt;wsp:rsid wsp:val=&quot;00794BC6&quot;/&gt;&lt;wsp:rsid wsp:val=&quot;00795DA1&quot;/&gt;&lt;wsp:rsid wsp:val=&quot;007A07E3&quot;/&gt;&lt;wsp:rsid wsp:val=&quot;007A08B5&quot;/&gt;&lt;wsp:rsid wsp:val=&quot;007B1ED8&quot;/&gt;&lt;wsp:rsid wsp:val=&quot;007B2F38&quot;/&gt;&lt;wsp:rsid wsp:val=&quot;007B5261&quot;/&gt;&lt;wsp:rsid wsp:val=&quot;007C3C20&quot;/&gt;&lt;wsp:rsid wsp:val=&quot;007D54BC&quot;/&gt;&lt;wsp:rsid wsp:val=&quot;007E329A&quot;/&gt;&lt;wsp:rsid wsp:val=&quot;007E50ED&quot;/&gt;&lt;wsp:rsid wsp:val=&quot;007E684D&quot;/&gt;&lt;wsp:rsid wsp:val=&quot;007E72B6&quot;/&gt;&lt;wsp:rsid wsp:val=&quot;007F014B&quot;/&gt;&lt;wsp:rsid wsp:val=&quot;007F1C01&quot;/&gt;&lt;wsp:rsid wsp:val=&quot;007F550B&quot;/&gt;&lt;wsp:rsid wsp:val=&quot;00810AAF&quot;/&gt;&lt;wsp:rsid wsp:val=&quot;00822158&quot;/&gt;&lt;wsp:rsid wsp:val=&quot;00823D19&quot;/&gt;&lt;wsp:rsid wsp:val=&quot;008273B5&quot;/&gt;&lt;wsp:rsid wsp:val=&quot;0083251D&quot;/&gt;&lt;wsp:rsid wsp:val=&quot;00841FEB&quot;/&gt;&lt;wsp:rsid wsp:val=&quot;00852EF2&quot;/&gt;&lt;wsp:rsid wsp:val=&quot;00853F3B&quot;/&gt;&lt;wsp:rsid wsp:val=&quot;00855E20&quot;/&gt;&lt;wsp:rsid wsp:val=&quot;008739D8&quot;/&gt;&lt;wsp:rsid wsp:val=&quot;008975AB&quot;/&gt;&lt;wsp:rsid wsp:val=&quot;008A34F1&quot;/&gt;&lt;wsp:rsid wsp:val=&quot;008C5D0C&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96CD9&quot;/&gt;&lt;wsp:rsid wsp:val=&quot;00996D8A&quot;/&gt;&lt;wsp:rsid wsp:val=&quot;009A333F&quot;/&gt;&lt;wsp:rsid wsp:val=&quot;009B2C9B&quot;/&gt;&lt;wsp:rsid wsp:val=&quot;009B64D0&quot;/&gt;&lt;wsp:rsid wsp:val=&quot;009B771A&quot;/&gt;&lt;wsp:rsid wsp:val=&quot;009D6573&quot;/&gt;&lt;wsp:rsid wsp:val=&quot;009E3164&quot;/&gt;&lt;wsp:rsid wsp:val=&quot;009E3936&quot;/&gt;&lt;wsp:rsid wsp:val=&quot;009E55E8&quot;/&gt;&lt;wsp:rsid wsp:val=&quot;009F04A5&quot;/&gt;&lt;wsp:rsid wsp:val=&quot;00A16E1D&quot;/&gt;&lt;wsp:rsid wsp:val=&quot;00A21FBC&quot;/&gt;&lt;wsp:rsid wsp:val=&quot;00A34344&quot;/&gt;&lt;wsp:rsid wsp:val=&quot;00A4775A&quot;/&gt;&lt;wsp:rsid wsp:val=&quot;00A55B47&quot;/&gt;&lt;wsp:rsid wsp:val=&quot;00A76623&quot;/&gt;&lt;wsp:rsid wsp:val=&quot;00A7717D&quot;/&gt;&lt;wsp:rsid wsp:val=&quot;00A778CB&quot;/&gt;&lt;wsp:rsid wsp:val=&quot;00A81B59&quot;/&gt;&lt;wsp:rsid wsp:val=&quot;00AA1F42&quot;/&gt;&lt;wsp:rsid wsp:val=&quot;00AB232E&quot;/&gt;&lt;wsp:rsid wsp:val=&quot;00AB7421&quot;/&gt;&lt;wsp:rsid wsp:val=&quot;00AC0E46&quot;/&gt;&lt;wsp:rsid wsp:val=&quot;00AC3B11&quot;/&gt;&lt;wsp:rsid wsp:val=&quot;00AC6132&quot;/&gt;&lt;wsp:rsid wsp:val=&quot;00AC725A&quot;/&gt;&lt;wsp:rsid wsp:val=&quot;00AC7C7D&quot;/&gt;&lt;wsp:rsid wsp:val=&quot;00AC7FFE&quot;/&gt;&lt;wsp:rsid wsp:val=&quot;00AD59F3&quot;/&gt;&lt;wsp:rsid wsp:val=&quot;00AE0FB9&quot;/&gt;&lt;wsp:rsid wsp:val=&quot;00AF1129&quot;/&gt;&lt;wsp:rsid wsp:val=&quot;00B040D2&quot;/&gt;&lt;wsp:rsid wsp:val=&quot;00B0733E&quot;/&gt;&lt;wsp:rsid wsp:val=&quot;00B10EC3&quot;/&gt;&lt;wsp:rsid wsp:val=&quot;00B30906&quot;/&gt;&lt;wsp:rsid wsp:val=&quot;00B42B82&quot;/&gt;&lt;wsp:rsid wsp:val=&quot;00B640E8&quot;/&gt;&lt;wsp:rsid wsp:val=&quot;00B66672&quot;/&gt;&lt;wsp:rsid wsp:val=&quot;00B75DE1&quot;/&gt;&lt;wsp:rsid wsp:val=&quot;00B82329&quot;/&gt;&lt;wsp:rsid wsp:val=&quot;00B8433A&quot;/&gt;&lt;wsp:rsid wsp:val=&quot;00B902B2&quot;/&gt;&lt;wsp:rsid wsp:val=&quot;00BA0C0F&quot;/&gt;&lt;wsp:rsid wsp:val=&quot;00BA142E&quot;/&gt;&lt;wsp:rsid wsp:val=&quot;00BA32BB&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3F9F&quot;/&gt;&lt;wsp:rsid wsp:val=&quot;00C07532&quot;/&gt;&lt;wsp:rsid wsp:val=&quot;00C122F1&quot;/&gt;&lt;wsp:rsid wsp:val=&quot;00C1584B&quot;/&gt;&lt;wsp:rsid wsp:val=&quot;00C203D7&quot;/&gt;&lt;wsp:rsid wsp:val=&quot;00C23A85&quot;/&gt;&lt;wsp:rsid wsp:val=&quot;00C40E21&quot;/&gt;&lt;wsp:rsid wsp:val=&quot;00C447E1&quot;/&gt;&lt;wsp:rsid wsp:val=&quot;00C53A29&quot;/&gt;&lt;wsp:rsid wsp:val=&quot;00C63EFF&quot;/&gt;&lt;wsp:rsid wsp:val=&quot;00C738B3&quot;/&gt;&lt;wsp:rsid wsp:val=&quot;00C864BC&quot;/&gt;&lt;wsp:rsid wsp:val=&quot;00C86809&quot;/&gt;&lt;wsp:rsid wsp:val=&quot;00C86B16&quot;/&gt;&lt;wsp:rsid wsp:val=&quot;00CA3F26&quot;/&gt;&lt;wsp:rsid wsp:val=&quot;00CA4A7A&quot;/&gt;&lt;wsp:rsid wsp:val=&quot;00CB5F1C&quot;/&gt;&lt;wsp:rsid wsp:val=&quot;00CC16EC&quot;/&gt;&lt;wsp:rsid wsp:val=&quot;00CD1153&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650A4&quot;/&gt;&lt;wsp:rsid wsp:val=&quot;00D6708F&quot;/&gt;&lt;wsp:rsid wsp:val=&quot;00D71309&quot;/&gt;&lt;wsp:rsid wsp:val=&quot;00D81F7C&quot;/&gt;&lt;wsp:rsid wsp:val=&quot;00D8360F&quot;/&gt;&lt;wsp:rsid wsp:val=&quot;00D85F81&quot;/&gt;&lt;wsp:rsid wsp:val=&quot;00D87DE8&quot;/&gt;&lt;wsp:rsid wsp:val=&quot;00D945DA&quot;/&gt;&lt;wsp:rsid wsp:val=&quot;00D961B6&quot;/&gt;&lt;wsp:rsid wsp:val=&quot;00DA4FFD&quot;/&gt;&lt;wsp:rsid wsp:val=&quot;00DA68F4&quot;/&gt;&lt;wsp:rsid wsp:val=&quot;00DC2279&quot;/&gt;&lt;wsp:rsid wsp:val=&quot;00DC62C1&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0F7&quot;/&gt;&lt;wsp:rsid wsp:val=&quot;00E215CB&quot;/&gt;&lt;wsp:rsid wsp:val=&quot;00E22E77&quot;/&gt;&lt;wsp:rsid wsp:val=&quot;00E30699&quot;/&gt;&lt;wsp:rsid wsp:val=&quot;00E36B64&quot;/&gt;&lt;wsp:rsid wsp:val=&quot;00E42FAA&quot;/&gt;&lt;wsp:rsid wsp:val=&quot;00E53830&quot;/&gt;&lt;wsp:rsid wsp:val=&quot;00E61192&quot;/&gt;&lt;wsp:rsid wsp:val=&quot;00E8107C&quot;/&gt;&lt;wsp:rsid wsp:val=&quot;00EA09BD&quot;/&gt;&lt;wsp:rsid wsp:val=&quot;00EA3C86&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1AAF&quot;/&gt;&lt;wsp:rsid wsp:val=&quot;00F12D2E&quot;/&gt;&lt;wsp:rsid wsp:val=&quot;00F15C22&quot;/&gt;&lt;wsp:rsid wsp:val=&quot;00F32217&quot;/&gt;&lt;wsp:rsid wsp:val=&quot;00F508D9&quot;/&gt;&lt;wsp:rsid wsp:val=&quot;00F52B54&quot;/&gt;&lt;wsp:rsid wsp:val=&quot;00F56B1E&quot;/&gt;&lt;wsp:rsid wsp:val=&quot;00F673CB&quot;/&gt;&lt;wsp:rsid wsp:val=&quot;00F724AE&quot;/&gt;&lt;wsp:rsid wsp:val=&quot;00F7565D&quot;/&gt;&lt;wsp:rsid wsp:val=&quot;00F91DEB&quot;/&gt;&lt;wsp:rsid wsp:val=&quot;00FD22EB&quot;/&gt;&lt;wsp:rsid wsp:val=&quot;00FD3727&quot;/&gt;&lt;wsp:rsid wsp:val=&quot;00FD43E6&quot;/&gt;&lt;wsp:rsid wsp:val=&quot;00FE6A52&quot;/&gt;&lt;wsp:rsid wsp:val=&quot;00FF7D96&quot;/&gt;&lt;/wsp:rsids&gt;&lt;/w:docPr&gt;&lt;w:body&gt;&lt;wx:sect&gt;&lt;w:p wsp:rsidR=&quot;00000000&quot; wsp:rsidRDefault=&quot;00B30906&quot; wsp:rsidP=&quot;00B30906&quot;&gt;&lt;m:oMathPara&gt;&lt;m:oMath&gt;&lt;m:f&gt;&lt;m:fPr&gt;&lt;m:type m:val=&quot;lin&quot;/&gt;&lt;m:ctrlPr&gt;&lt;w:rPr&gt;&lt;w:rFonts w:ascii=&quot;Cambria Math&quot; w:fareast=&quot;Gulim&quot; w:h-ansi=&quot;Cambria Math&quot;/&gt;&lt;wx:font wx:val=&quot;Cambria Math&quot;/&gt;&lt;w:b/&gt;&lt;w:b-cs/&gt;&lt;w:lang w:fareast=&quot;KO&quot;/&gt;&lt;/w:rPr&gt;&lt;/m:ctrlPr&gt;&lt;/m:fPr&gt;&lt;m:num&gt;&lt;m:r&gt;&lt;m:rPr&gt;&lt;m:sty m:val=&quot;b&quot;/&gt;&lt;/m:rPr&gt;&lt;w:rPr&gt;&lt;w:rFonts w:ascii=&quot;Cambria Math&quot; w:h-ansi=&quot;Cambria Math&quot;/&gt;&lt;wx:font wx:val=&quot;Cambria Math&quot;/&gt;&lt;w:b/&gt;&lt;w:sz-cs w:val=&quot;20&quot;/&gt;&lt;/w:rPr&gt;&lt;m:t&gt;64&lt;/m:t&gt;&lt;/m:r&gt;&lt;/m:num&gt;&lt;m:den&gt;&lt;m:sSup&gt;&lt;m:sSupPr&gt;&lt;m:ctrlPr&gt;&lt;w:rPr&gt;&lt;w:rFonts w:ascii=&quot;Cambria Math&quot; w:fareast=&quot;Gulim&quot; w:h-ansi=&quot;Cambria Math&quot;/&gt;&lt;wx:font wx:val=&quot;Cambria Math&quot;/&gt;&lt;w:b/&gt;&lt;w:b-cs/&gt;&lt;w:lang w:fareast=&quot;KO&quot;/&gt;&lt;/w:rPr&gt;&lt;/m:ctrlPr&gt;&lt;/m:sSupPr&gt;&lt;m:e&gt;&lt;m:r&gt;&lt;m:rPr&gt;&lt;m:sty m:val=&quot;b&quot;/&gt;&lt;/m:rPr&gt;&lt;w:rPr&gt;&lt;w:rFonts w:ascii=&quot;Cambria Math&quot; w:h-ansi=&quot;Cambria Math&quot;/&gt;&lt;wx:font wx:val=&quot;Cambria Math&quot;/&gt;&lt;w:b/&gt;&lt;w:sz-cs w:val=&quot;20&quot;/&gt;&lt;/w:rPr&gt;&lt;m:t&gt;2&lt;/m:t&gt;&lt;/m:r&gt;&lt;/m:e&gt;&lt;m:sup&gt;&lt;m:r&gt;&lt;m:rPr&gt;&lt;m:sty m:val=&quot;b&quot;/&gt;&lt;/m:rPr&gt;&lt;w:rPr&gt;&lt;w:rFonts w:ascii=&quot;Cambria Math&quot; w:h-ansi=&quot;Cambria Math&quot;/&gt;&lt;wx:font wx:val=&quot;Cambria Math&quot;/&gt;&lt;w:b/&gt;&lt;w:sz-cs w:val=&quot;20&quot;/&gt;&lt;/w:rPr&gt;&lt;m:t&gt;μ&lt;/m:t&gt;&lt;/m:r&gt;&lt;/m:sup&gt;&lt;/m:sSup&gt;&lt;/m:den&gt;&lt;/m:f&gt;&lt;m:r&gt;&lt;m:rPr&gt;&lt;m:sty m:val=&quot;b&quot;/&gt;&lt;/m:rPr&gt;&lt;w:rPr&gt;&lt;w:rFonts w:ascii=&quot;Cambria Math&quot; w:h-ansi=&quot;Cambria Math&quot;/&gt;&lt;wx:font wx:val=&quot;Cambria MathMMM&quot;/t&gt;&lt;w:b/&gt;&lt;w:sz-cs w:val=&quot;20&quot;/&gt;&lt;/w:rPr&gt;&lt;m:t&gt;?&lt;/m:t&gt;&lt;/m:r&gt;&lt;m:sSub&gt;&lt;m:sSubPr&gt;&lt;m:ctrlPr&gt;&lt;w:rPr&gt;&lt;w:rFonts w:ascii=&quot;Cambria Math&quot; w:fareast=&quot;Gulim&quot; w:h-ansi=&quot;Cambria Math&quot;/&gt;&lt;wx:font wx:val=&quot;Cambria Math&quot;/&gt;&lt;w:b/&gt;&lt;w:b-cs/&gt;&lt;w:lang w:fareast=&quot;KO&quot;/&gt;&lt;/w:rPr&gt;&lt;/m:ctrlPr&gt;&lt;/m:sSubPr&gt;&lt;m:e&gt;&lt;m:r&gt;&lt;m:rPr&gt;&lt;m:sty m:val=&quot;b&quot;/&gt;&lt;/m:rPr&gt;&lt;w:rPr&gt;&lt;w:rFonts w:ascii=&quot;Cambria Math&quot; w:h-ansi=&quot;Cambria Math&quot;/&gt;&lt;wx:font wx:val=&quot;Cambria Math&quot;/&gt;&lt;w:b/&gt;&lt;w:sz-cs w:val=&quot;20&quot;/&gt;&lt;/w:rPr&gt;&lt;m:t&gt;T&lt;/m:t&gt;&lt;/m:r&gt;&lt;/m:e&gt;&lt;m:sub&gt;&lt;m:r&gt;&lt;m:rPr&gt;&lt;m:sty m:val=&quot;b&quot;/&gt;&lt;/m:rPr&gt;&lt;w:rPr&gt;&lt;w:rFonts w:ascii=&quot;Cambria Math&quot; w:h-ansi=&quot;Cambria Math&quot;/&gt;&lt;wx:font wx:val=&quot;Cambria Math&quot;/&gt;&lt;w:b/&gt;&lt;w:sz-cs w:val=&quot;20&quot;/&gt;&lt;/w:rPr&gt;&lt;m:t&g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Pr>
          <w:rFonts w:ascii="Times New Roman" w:hAnsi="Times New Roman"/>
          <w:i/>
          <w:iCs/>
          <w:sz w:val="20"/>
          <w:szCs w:val="20"/>
        </w:rPr>
        <w:instrText xml:space="preserve"> </w:instrText>
      </w:r>
      <w:r>
        <w:rPr>
          <w:rFonts w:ascii="Times New Roman" w:hAnsi="Times New Roman"/>
          <w:i/>
          <w:iCs/>
          <w:sz w:val="20"/>
          <w:szCs w:val="20"/>
        </w:rPr>
        <w:fldChar w:fldCharType="separate"/>
      </w:r>
      <w:r w:rsidR="00052A59">
        <w:rPr>
          <w:rFonts w:ascii="Times New Roman" w:hAnsi="Times New Roman"/>
          <w:i/>
          <w:iCs/>
          <w:sz w:val="20"/>
          <w:szCs w:val="20"/>
        </w:rPr>
        <w:pict>
          <v:shape id="_x0000_i1026" type="#_x0000_t75" style="width:44.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30&quot;/&gt;&lt;w:dontDisplayPageBoundaries/&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D07&quot;/&gt;&lt;wsp:rsid wsp:val=&quot;00011C37&quot;/&gt;&lt;wsp:rsid wsp:val=&quot;000126BD&quot;/&gt;&lt;wsp:rsid wsp:val=&quot;0002062C&quot;/&gt;&lt;wsp:rsid wsp:val=&quot;0002164C&quot;/&gt;&lt;wsp:rsid wsp:val=&quot;00031A81&quot;/&gt;&lt;wsp:rsid wsp:val=&quot;00031B93&quot;/&gt;&lt;wsp:rsid wsp:val=&quot;00034074&quot;/&gt;&lt;wsp:rsid wsp:val=&quot;00041E1F&quot;/&gt;&lt;wsp:rsid wsp:val=&quot;000443A6&quot;/&gt;&lt;wsp:rsid wsp:val=&quot;00045689&quot;/&gt;&lt;wsp:rsid wsp:val=&quot;00045AA4&quot;/&gt;&lt;wsp:rsid wsp:val=&quot;0005065D&quot;/&gt;&lt;wsp:rsid wsp:val=&quot;00050EAA&quot;/&gt;&lt;wsp:rsid wsp:val=&quot;0005127E&quot;/&gt;&lt;wsp:rsid wsp:val=&quot;00062307&quot;/&gt;&lt;wsp:rsid wsp:val=&quot;000633D6&quot;/&gt;&lt;wsp:rsid wsp:val=&quot;000707A6&quot;/&gt;&lt;wsp:rsid wsp:val=&quot;00072878&quot;/&gt;&lt;wsp:rsid wsp:val=&quot;00073C45&quot;/&gt;&lt;wsp:rsid wsp:val=&quot;00076C50&quot;/&gt;&lt;wsp:rsid wsp:val=&quot;00081DD2&quot;/&gt;&lt;wsp:rsid wsp:val=&quot;00084952&quot;/&gt;&lt;wsp:rsid wsp:val=&quot;000906E0&quot;/&gt;&lt;wsp:rsid wsp:val=&quot;00092578&quot;/&gt;&lt;wsp:rsid wsp:val=&quot;00096EAD&quot;/&gt;&lt;wsp:rsid wsp:val=&quot;000B03D8&quot;/&gt;&lt;wsp:rsid wsp:val=&quot;000B283D&quot;/&gt;&lt;wsp:rsid wsp:val=&quot;000B4259&quot;/&gt;&lt;wsp:rsid wsp:val=&quot;000C04E5&quot;/&gt;&lt;wsp:rsid wsp:val=&quot;000C1E89&quot;/&gt;&lt;wsp:rsid wsp:val=&quot;000C256E&quot;/&gt;&lt;wsp:rsid wsp:val=&quot;000E5FC6&quot;/&gt;&lt;wsp:rsid wsp:val=&quot;000F25A5&quot;/&gt;&lt;wsp:rsid wsp:val=&quot;000F32DC&quot;/&gt;&lt;wsp:rsid wsp:val=&quot;000F58F5&quot;/&gt;&lt;wsp:rsid wsp:val=&quot;00107245&quot;/&gt;&lt;wsp:rsid wsp:val=&quot;0010768D&quot;/&gt;&lt;wsp:rsid wsp:val=&quot;00114AF8&quot;/&gt;&lt;wsp:rsid wsp:val=&quot;0012481F&quot;/&gt;&lt;wsp:rsid wsp:val=&quot;00125A76&quot;/&gt;&lt;wsp:rsid wsp:val=&quot;001359C4&quot;/&gt;&lt;wsp:rsid wsp:val=&quot;001402AA&quot;/&gt;&lt;wsp:rsid wsp:val=&quot;00140AFD&quot;/&gt;&lt;wsp:rsid wsp:val=&quot;0015372A&quot;/&gt;&lt;wsp:rsid wsp:val=&quot;00170DBA&quot;/&gt;&lt;wsp:rsid wsp:val=&quot;00181A11&quot;/&gt;&lt;wsp:rsid wsp:val=&quot;0018520E&quot;/&gt;&lt;wsp:rsid wsp:val=&quot;001B5D18&quot;/&gt;&lt;wsp:rsid wsp:val=&quot;001C3B7D&quot;/&gt;&lt;wsp:rsid wsp:val=&quot;001C40D9&quot;/&gt;&lt;wsp:rsid wsp:val=&quot;001C5A1B&quot;/&gt;&lt;wsp:rsid wsp:val=&quot;001F4B2C&quot;/&gt;&lt;wsp:rsid wsp:val=&quot;00204643&quot;/&gt;&lt;wsp:rsid wsp:val=&quot;002144C8&quot;/&gt;&lt;wsp:rsid wsp:val=&quot;00231522&quot;/&gt;&lt;wsp:rsid wsp:val=&quot;0026656D&quot;/&gt;&lt;wsp:rsid wsp:val=&quot;00280DA9&quot;/&gt;&lt;wsp:rsid wsp:val=&quot;00281790&quot;/&gt;&lt;wsp:rsid wsp:val=&quot;002818D1&quot;/&gt;&lt;wsp:rsid wsp:val=&quot;002908DD&quot;/&gt;&lt;wsp:rsid wsp:val=&quot;00293C36&quot;/&gt;&lt;wsp:rsid wsp:val=&quot;002A1E7D&quot;/&gt;&lt;wsp:rsid wsp:val=&quot;002A7DE5&quot;/&gt;&lt;wsp:rsid wsp:val=&quot;002D61F6&quot;/&gt;&lt;wsp:rsid wsp:val=&quot;002F0188&quot;/&gt;&lt;wsp:rsid wsp:val=&quot;002F1C88&quot;/&gt;&lt;wsp:rsid wsp:val=&quot;002F6243&quot;/&gt;&lt;wsp:rsid wsp:val=&quot;0031347D&quot;/&gt;&lt;wsp:rsid wsp:val=&quot;00342739&quot;/&gt;&lt;wsp:rsid wsp:val=&quot;00343041&quot;/&gt;&lt;wsp:rsid wsp:val=&quot;00345EEA&quot;/&gt;&lt;wsp:rsid wsp:val=&quot;003514B1&quot;/&gt;&lt;wsp:rsid wsp:val=&quot;00356A1A&quot;/&gt;&lt;wsp:rsid wsp:val=&quot;00377843&quot;/&gt;&lt;wsp:rsid wsp:val=&quot;0039582F&quot;/&gt;&lt;wsp:rsid wsp:val=&quot;003A3913&quot;/&gt;&lt;wsp:rsid wsp:val=&quot;003B1F78&quot;/&gt;&lt;wsp:rsid wsp:val=&quot;003B54C3&quot;/&gt;&lt;wsp:rsid wsp:val=&quot;003E7DF2&quot;/&gt;&lt;wsp:rsid wsp:val=&quot;003F30E5&quot;/&gt;&lt;wsp:rsid wsp:val=&quot;003F53E5&quot;/&gt;&lt;wsp:rsid wsp:val=&quot;003F6175&quot;/&gt;&lt;wsp:rsid wsp:val=&quot;00403B8D&quot;/&gt;&lt;wsp:rsid wsp:val=&quot;004059D6&quot;/&gt;&lt;wsp:rsid wsp:val=&quot;00443EAF&quot;/&gt;&lt;wsp:rsid wsp:val=&quot;00453797&quot;/&gt;&lt;wsp:rsid wsp:val=&quot;00454760&quot;/&gt;&lt;wsp:rsid wsp:val=&quot;00461301&quot;/&gt;&lt;wsp:rsid wsp:val=&quot;00462BD0&quot;/&gt;&lt;wsp:rsid wsp:val=&quot;00465CCE&quot;/&gt;&lt;wsp:rsid wsp:val=&quot;00467817&quot;/&gt;&lt;wsp:rsid wsp:val=&quot;0047126E&quot;/&gt;&lt;wsp:rsid wsp:val=&quot;00475014&quot;/&gt;&lt;wsp:rsid wsp:val=&quot;00487DDA&quot;/&gt;&lt;wsp:rsid wsp:val=&quot;004952EA&quot;/&gt;&lt;wsp:rsid wsp:val=&quot;004977E1&quot;/&gt;&lt;wsp:rsid wsp:val=&quot;004C092F&quot;/&gt;&lt;wsp:rsid wsp:val=&quot;004C1466&quot;/&gt;&lt;wsp:rsid wsp:val=&quot;004E1E92&quot;/&gt;&lt;wsp:rsid wsp:val=&quot;004E40C3&quot;/&gt;&lt;wsp:rsid wsp:val=&quot;004E4F43&quot;/&gt;&lt;wsp:rsid wsp:val=&quot;004E5018&quot;/&gt;&lt;wsp:rsid wsp:val=&quot;004E680F&quot;/&gt;&lt;wsp:rsid wsp:val=&quot;004F232E&quot;/&gt;&lt;wsp:rsid wsp:val=&quot;005067D3&quot;/&gt;&lt;wsp:rsid wsp:val=&quot;00514701&quot;/&gt;&lt;wsp:rsid wsp:val=&quot;00534FF1&quot;/&gt;&lt;wsp:rsid wsp:val=&quot;00542DD3&quot;/&gt;&lt;wsp:rsid wsp:val=&quot;00544713&quot;/&gt;&lt;wsp:rsid wsp:val=&quot;00547773&quot;/&gt;&lt;wsp:rsid wsp:val=&quot;00551453&quot;/&gt;&lt;wsp:rsid wsp:val=&quot;00552E0F&quot;/&gt;&lt;wsp:rsid wsp:val=&quot;00570536&quot;/&gt;&lt;wsp:rsid wsp:val=&quot;005823D9&quot;/&gt;&lt;wsp:rsid wsp:val=&quot;005A1253&quot;/&gt;&lt;wsp:rsid wsp:val=&quot;005A2F2C&quot;/&gt;&lt;wsp:rsid wsp:val=&quot;005A505E&quot;/&gt;&lt;wsp:rsid wsp:val=&quot;005B26AB&quot;/&gt;&lt;wsp:rsid wsp:val=&quot;005B38CF&quot;/&gt;&lt;wsp:rsid wsp:val=&quot;005B5055&quot;/&gt;&lt;wsp:rsid wsp:val=&quot;005B5782&quot;/&gt;&lt;wsp:rsid wsp:val=&quot;005B5AC9&quot;/&gt;&lt;wsp:rsid wsp:val=&quot;005B5EA1&quot;/&gt;&lt;wsp:rsid wsp:val=&quot;005C2445&quot;/&gt;&lt;wsp:rsid wsp:val=&quot;005C5A33&quot;/&gt;&lt;wsp:rsid wsp:val=&quot;005D02EF&quot;/&gt;&lt;wsp:rsid wsp:val=&quot;005E3502&quot;/&gt;&lt;wsp:rsid wsp:val=&quot;005F23F8&quot;/&gt;&lt;wsp:rsid wsp:val=&quot;006115A3&quot;/&gt;&lt;wsp:rsid wsp:val=&quot;00634F8B&quot;/&gt;&lt;wsp:rsid wsp:val=&quot;006403D2&quot;/&gt;&lt;wsp:rsid wsp:val=&quot;00646379&quot;/&gt;&lt;wsp:rsid wsp:val=&quot;0064761A&quot;/&gt;&lt;wsp:rsid wsp:val=&quot;00662DE8&quot;/&gt;&lt;wsp:rsid wsp:val=&quot;00663643&quot;/&gt;&lt;wsp:rsid wsp:val=&quot;00665EFB&quot;/&gt;&lt;wsp:rsid wsp:val=&quot;00673307&quot;/&gt;&lt;wsp:rsid wsp:val=&quot;006773CB&quot;/&gt;&lt;wsp:rsid wsp:val=&quot;0068178A&quot;/&gt;&lt;wsp:rsid wsp:val=&quot;00681D1B&quot;/&gt;&lt;wsp:rsid wsp:val=&quot;006A043E&quot;/&gt;&lt;wsp:rsid wsp:val=&quot;006A5A38&quot;/&gt;&lt;wsp:rsid wsp:val=&quot;006B1C2E&quot;/&gt;&lt;wsp:rsid wsp:val=&quot;006B28AC&quot;/&gt;&lt;wsp:rsid wsp:val=&quot;006B50E1&quot;/&gt;&lt;wsp:rsid wsp:val=&quot;007436B8&quot;/&gt;&lt;wsp:rsid wsp:val=&quot;00753915&quot;/&gt;&lt;wsp:rsid wsp:val=&quot;00760708&quot;/&gt;&lt;wsp:rsid wsp:val=&quot;00761467&quot;/&gt;&lt;wsp:rsid wsp:val=&quot;00765261&quot;/&gt;&lt;wsp:rsid wsp:val=&quot;00774B4C&quot;/&gt;&lt;wsp:rsid wsp:val=&quot;007754C9&quot;/&gt;&lt;wsp:rsid wsp:val=&quot;00783B6F&quot;/&gt;&lt;wsp:rsid wsp:val=&quot;007850B3&quot;/&gt;&lt;wsp:rsid wsp:val=&quot;00794BC6&quot;/&gt;&lt;wsp:rsid wsp:val=&quot;00795DA1&quot;/&gt;&lt;wsp:rsid wsp:val=&quot;007A07E3&quot;/&gt;&lt;wsp:rsid wsp:val=&quot;007A08B5&quot;/&gt;&lt;wsp:rsid wsp:val=&quot;007B1ED8&quot;/&gt;&lt;wsp:rsid wsp:val=&quot;007B2F38&quot;/&gt;&lt;wsp:rsid wsp:val=&quot;007B5261&quot;/&gt;&lt;wsp:rsid wsp:val=&quot;007C3C20&quot;/&gt;&lt;wsp:rsid wsp:val=&quot;007D54BC&quot;/&gt;&lt;wsp:rsid wsp:val=&quot;007E329A&quot;/&gt;&lt;wsp:rsid wsp:val=&quot;007E50ED&quot;/&gt;&lt;wsp:rsid wsp:val=&quot;007E684D&quot;/&gt;&lt;wsp:rsid wsp:val=&quot;007E72B6&quot;/&gt;&lt;wsp:rsid wsp:val=&quot;007F014B&quot;/&gt;&lt;wsp:rsid wsp:val=&quot;007F1C01&quot;/&gt;&lt;wsp:rsid wsp:val=&quot;007F550B&quot;/&gt;&lt;wsp:rsid wsp:val=&quot;00810AAF&quot;/&gt;&lt;wsp:rsid wsp:val=&quot;00822158&quot;/&gt;&lt;wsp:rsid wsp:val=&quot;00823D19&quot;/&gt;&lt;wsp:rsid wsp:val=&quot;008273B5&quot;/&gt;&lt;wsp:rsid wsp:val=&quot;0083251D&quot;/&gt;&lt;wsp:rsid wsp:val=&quot;00841FEB&quot;/&gt;&lt;wsp:rsid wsp:val=&quot;00852EF2&quot;/&gt;&lt;wsp:rsid wsp:val=&quot;00853F3B&quot;/&gt;&lt;wsp:rsid wsp:val=&quot;00855E20&quot;/&gt;&lt;wsp:rsid wsp:val=&quot;008739D8&quot;/&gt;&lt;wsp:rsid wsp:val=&quot;008975AB&quot;/&gt;&lt;wsp:rsid wsp:val=&quot;008A34F1&quot;/&gt;&lt;wsp:rsid wsp:val=&quot;008C5D0C&quot;/&gt;&lt;wsp:rsid wsp:val=&quot;008C619E&quot;/&gt;&lt;wsp:rsid wsp:val=&quot;008D10C5&quot;/&gt;&lt;wsp:rsid wsp:val=&quot;008D7E51&quot;/&gt;&lt;wsp:rsid wsp:val=&quot;008E1808&quot;/&gt;&lt;wsp:rsid wsp:val=&quot;008E2CEF&quot;/&gt;&lt;wsp:rsid wsp:val=&quot;008E4F63&quot;/&gt;&lt;wsp:rsid wsp:val=&quot;008F24F8&quot;/&gt;&lt;wsp:rsid wsp:val=&quot;008F6807&quot;/&gt;&lt;wsp:rsid wsp:val=&quot;008F7C25&quot;/&gt;&lt;wsp:rsid wsp:val=&quot;0093354F&quot;/&gt;&lt;wsp:rsid wsp:val=&quot;00941A05&quot;/&gt;&lt;wsp:rsid wsp:val=&quot;009538BB&quot;/&gt;&lt;wsp:rsid wsp:val=&quot;00953F35&quot;/&gt;&lt;wsp:rsid wsp:val=&quot;00954008&quot;/&gt;&lt;wsp:rsid wsp:val=&quot;00977B7D&quot;/&gt;&lt;wsp:rsid wsp:val=&quot;0098063B&quot;/&gt;&lt;wsp:rsid wsp:val=&quot;0098076F&quot;/&gt;&lt;wsp:rsid wsp:val=&quot;00996CD9&quot;/&gt;&lt;wsp:rsid wsp:val=&quot;00996D8A&quot;/&gt;&lt;wsp:rsid wsp:val=&quot;009A333F&quot;/&gt;&lt;wsp:rsid wsp:val=&quot;009B2C9B&quot;/&gt;&lt;wsp:rsid wsp:val=&quot;009B64D0&quot;/&gt;&lt;wsp:rsid wsp:val=&quot;009B771A&quot;/&gt;&lt;wsp:rsid wsp:val=&quot;009D6573&quot;/&gt;&lt;wsp:rsid wsp:val=&quot;009E3164&quot;/&gt;&lt;wsp:rsid wsp:val=&quot;009E3936&quot;/&gt;&lt;wsp:rsid wsp:val=&quot;009E55E8&quot;/&gt;&lt;wsp:rsid wsp:val=&quot;009F04A5&quot;/&gt;&lt;wsp:rsid wsp:val=&quot;00A16E1D&quot;/&gt;&lt;wsp:rsid wsp:val=&quot;00A21FBC&quot;/&gt;&lt;wsp:rsid wsp:val=&quot;00A34344&quot;/&gt;&lt;wsp:rsid wsp:val=&quot;00A4775A&quot;/&gt;&lt;wsp:rsid wsp:val=&quot;00A55B47&quot;/&gt;&lt;wsp:rsid wsp:val=&quot;00A76623&quot;/&gt;&lt;wsp:rsid wsp:val=&quot;00A7717D&quot;/&gt;&lt;wsp:rsid wsp:val=&quot;00A778CB&quot;/&gt;&lt;wsp:rsid wsp:val=&quot;00A81B59&quot;/&gt;&lt;wsp:rsid wsp:val=&quot;00AA1F42&quot;/&gt;&lt;wsp:rsid wsp:val=&quot;00AB232E&quot;/&gt;&lt;wsp:rsid wsp:val=&quot;00AB7421&quot;/&gt;&lt;wsp:rsid wsp:val=&quot;00AC0E46&quot;/&gt;&lt;wsp:rsid wsp:val=&quot;00AC3B11&quot;/&gt;&lt;wsp:rsid wsp:val=&quot;00AC6132&quot;/&gt;&lt;wsp:rsid wsp:val=&quot;00AC725A&quot;/&gt;&lt;wsp:rsid wsp:val=&quot;00AC7C7D&quot;/&gt;&lt;wsp:rsid wsp:val=&quot;00AC7FFE&quot;/&gt;&lt;wsp:rsid wsp:val=&quot;00AD59F3&quot;/&gt;&lt;wsp:rsid wsp:val=&quot;00AE0FB9&quot;/&gt;&lt;wsp:rsid wsp:val=&quot;00AF1129&quot;/&gt;&lt;wsp:rsid wsp:val=&quot;00B040D2&quot;/&gt;&lt;wsp:rsid wsp:val=&quot;00B0733E&quot;/&gt;&lt;wsp:rsid wsp:val=&quot;00B10EC3&quot;/&gt;&lt;wsp:rsid wsp:val=&quot;00B30906&quot;/&gt;&lt;wsp:rsid wsp:val=&quot;00B42B82&quot;/&gt;&lt;wsp:rsid wsp:val=&quot;00B640E8&quot;/&gt;&lt;wsp:rsid wsp:val=&quot;00B66672&quot;/&gt;&lt;wsp:rsid wsp:val=&quot;00B75DE1&quot;/&gt;&lt;wsp:rsid wsp:val=&quot;00B82329&quot;/&gt;&lt;wsp:rsid wsp:val=&quot;00B8433A&quot;/&gt;&lt;wsp:rsid wsp:val=&quot;00B902B2&quot;/&gt;&lt;wsp:rsid wsp:val=&quot;00BA0C0F&quot;/&gt;&lt;wsp:rsid wsp:val=&quot;00BA142E&quot;/&gt;&lt;wsp:rsid wsp:val=&quot;00BA32BB&quot;/&gt;&lt;wsp:rsid wsp:val=&quot;00BD1A19&quot;/&gt;&lt;wsp:rsid wsp:val=&quot;00BE7564&quot;/&gt;&lt;wsp:rsid wsp:val=&quot;00BF1F78&quot;/&gt;&lt;wsp:rsid wsp:val=&quot;00BF668E&quot;/&gt;&lt;wsp:rsid wsp:val=&quot;00BF6DD5&quot;/&gt;&lt;wsp:rsid wsp:val=&quot;00BF78F9&quot;/&gt;&lt;wsp:rsid wsp:val=&quot;00C02A12&quot;/&gt;&lt;wsp:rsid wsp:val=&quot;00C036E7&quot;/&gt;&lt;wsp:rsid wsp:val=&quot;00C03F9F&quot;/&gt;&lt;wsp:rsid wsp:val=&quot;00C07532&quot;/&gt;&lt;wsp:rsid wsp:val=&quot;00C122F1&quot;/&gt;&lt;wsp:rsid wsp:val=&quot;00C1584B&quot;/&gt;&lt;wsp:rsid wsp:val=&quot;00C203D7&quot;/&gt;&lt;wsp:rsid wsp:val=&quot;00C23A85&quot;/&gt;&lt;wsp:rsid wsp:val=&quot;00C40E21&quot;/&gt;&lt;wsp:rsid wsp:val=&quot;00C447E1&quot;/&gt;&lt;wsp:rsid wsp:val=&quot;00C53A29&quot;/&gt;&lt;wsp:rsid wsp:val=&quot;00C63EFF&quot;/&gt;&lt;wsp:rsid wsp:val=&quot;00C738B3&quot;/&gt;&lt;wsp:rsid wsp:val=&quot;00C864BC&quot;/&gt;&lt;wsp:rsid wsp:val=&quot;00C86809&quot;/&gt;&lt;wsp:rsid wsp:val=&quot;00C86B16&quot;/&gt;&lt;wsp:rsid wsp:val=&quot;00CA3F26&quot;/&gt;&lt;wsp:rsid wsp:val=&quot;00CA4A7A&quot;/&gt;&lt;wsp:rsid wsp:val=&quot;00CB5F1C&quot;/&gt;&lt;wsp:rsid wsp:val=&quot;00CC16EC&quot;/&gt;&lt;wsp:rsid wsp:val=&quot;00CD1153&quot;/&gt;&lt;wsp:rsid wsp:val=&quot;00CD795B&quot;/&gt;&lt;wsp:rsid wsp:val=&quot;00CE3E19&quot;/&gt;&lt;wsp:rsid wsp:val=&quot;00CF0AC2&quot;/&gt;&lt;wsp:rsid wsp:val=&quot;00D06C0D&quot;/&gt;&lt;wsp:rsid wsp:val=&quot;00D077BB&quot;/&gt;&lt;wsp:rsid wsp:val=&quot;00D15153&quot;/&gt;&lt;wsp:rsid wsp:val=&quot;00D2550C&quot;/&gt;&lt;wsp:rsid wsp:val=&quot;00D2655F&quot;/&gt;&lt;wsp:rsid wsp:val=&quot;00D52E5D&quot;/&gt;&lt;wsp:rsid wsp:val=&quot;00D650A4&quot;/&gt;&lt;wsp:rsid wsp:val=&quot;00D6708F&quot;/&gt;&lt;wsp:rsid wsp:val=&quot;00D71309&quot;/&gt;&lt;wsp:rsid wsp:val=&quot;00D81F7C&quot;/&gt;&lt;wsp:rsid wsp:val=&quot;00D8360F&quot;/&gt;&lt;wsp:rsid wsp:val=&quot;00D85F81&quot;/&gt;&lt;wsp:rsid wsp:val=&quot;00D87DE8&quot;/&gt;&lt;wsp:rsid wsp:val=&quot;00D945DA&quot;/&gt;&lt;wsp:rsid wsp:val=&quot;00D961B6&quot;/&gt;&lt;wsp:rsid wsp:val=&quot;00DA4FFD&quot;/&gt;&lt;wsp:rsid wsp:val=&quot;00DA68F4&quot;/&gt;&lt;wsp:rsid wsp:val=&quot;00DC2279&quot;/&gt;&lt;wsp:rsid wsp:val=&quot;00DC62C1&quot;/&gt;&lt;wsp:rsid wsp:val=&quot;00DC7C26&quot;/&gt;&lt;wsp:rsid wsp:val=&quot;00DD2686&quot;/&gt;&lt;wsp:rsid wsp:val=&quot;00DD562C&quot;/&gt;&lt;wsp:rsid wsp:val=&quot;00DF1AC5&quot;/&gt;&lt;wsp:rsid wsp:val=&quot;00DF3CCC&quot;/&gt;&lt;wsp:rsid wsp:val=&quot;00DF45C9&quot;/&gt;&lt;wsp:rsid wsp:val=&quot;00E017E4&quot;/&gt;&lt;wsp:rsid wsp:val=&quot;00E20385&quot;/&gt;&lt;wsp:rsid wsp:val=&quot;00E208D2&quot;/&gt;&lt;wsp:rsid wsp:val=&quot;00E210F7&quot;/&gt;&lt;wsp:rsid wsp:val=&quot;00E215CB&quot;/&gt;&lt;wsp:rsid wsp:val=&quot;00E22E77&quot;/&gt;&lt;wsp:rsid wsp:val=&quot;00E30699&quot;/&gt;&lt;wsp:rsid wsp:val=&quot;00E36B64&quot;/&gt;&lt;wsp:rsid wsp:val=&quot;00E42FAA&quot;/&gt;&lt;wsp:rsid wsp:val=&quot;00E53830&quot;/&gt;&lt;wsp:rsid wsp:val=&quot;00E61192&quot;/&gt;&lt;wsp:rsid wsp:val=&quot;00E8107C&quot;/&gt;&lt;wsp:rsid wsp:val=&quot;00EA09BD&quot;/&gt;&lt;wsp:rsid wsp:val=&quot;00EA3C86&quot;/&gt;&lt;wsp:rsid wsp:val=&quot;00EA7990&quot;/&gt;&lt;wsp:rsid wsp:val=&quot;00EC01E4&quot;/&gt;&lt;wsp:rsid wsp:val=&quot;00EC137F&quot;/&gt;&lt;wsp:rsid wsp:val=&quot;00EC7B40&quot;/&gt;&lt;wsp:rsid wsp:val=&quot;00ED2E01&quot;/&gt;&lt;wsp:rsid wsp:val=&quot;00ED69A9&quot;/&gt;&lt;wsp:rsid wsp:val=&quot;00EF09F7&quot;/&gt;&lt;wsp:rsid wsp:val=&quot;00EF3F64&quot;/&gt;&lt;wsp:rsid wsp:val=&quot;00F0796D&quot;/&gt;&lt;wsp:rsid wsp:val=&quot;00F07E7D&quot;/&gt;&lt;wsp:rsid wsp:val=&quot;00F11AAF&quot;/&gt;&lt;wsp:rsid wsp:val=&quot;00F12D2E&quot;/&gt;&lt;wsp:rsid wsp:val=&quot;00F15C22&quot;/&gt;&lt;wsp:rsid wsp:val=&quot;00F32217&quot;/&gt;&lt;wsp:rsid wsp:val=&quot;00F508D9&quot;/&gt;&lt;wsp:rsid wsp:val=&quot;00F52B54&quot;/&gt;&lt;wsp:rsid wsp:val=&quot;00F56B1E&quot;/&gt;&lt;wsp:rsid wsp:val=&quot;00F673CB&quot;/&gt;&lt;wsp:rsid wsp:val=&quot;00F724AE&quot;/&gt;&lt;wsp:rsid wsp:val=&quot;00F7565D&quot;/&gt;&lt;wsp:rsid wsp:val=&quot;00F91DEB&quot;/&gt;&lt;wsp:rsid wsp:val=&quot;00FD22EB&quot;/&gt;&lt;wsp:rsid wsp:val=&quot;00FD3727&quot;/&gt;&lt;wsp:rsid wsp:val=&quot;00FD43E6&quot;/&gt;&lt;wsp:rsid wsp:val=&quot;00FE6A52&quot;/&gt;&lt;wsp:rsid wsp:val=&quot;00FF7D96&quot;/&gt;&lt;/wsp:rsids&gt;&lt;/w:docPr&gt;&lt;w:body&gt;&lt;wx:sect&gt;&lt;w:p wsp:rsidR=&quot;00000000&quot; wsp:rsidRDefault=&quot;00B30906&quot; wsp:rsidP=&quot;00B30906&quot;&gt;&lt;m:oMathPara&gt;&lt;m:oMath&gt;&lt;m:f&gt;&lt;m:fPr&gt;&lt;m:type m:val=&quot;lin&quot;/&gt;&lt;m:ctrlPr&gt;&lt;w:rPr&gt;&lt;w:rFonts w:ascii=&quot;Cambria Math&quot; w:fareast=&quot;Gulim&quot; w:h-ansi=&quot;Cambria Math&quot;/&gt;&lt;wx:font wx:val=&quot;Cambria Math&quot;/&gt;&lt;w:b/&gt;&lt;w:b-cs/&gt;&lt;w:lang w:fareast=&quot;KO&quot;/&gt;&lt;/w:rPr&gt;&lt;/m:ctrlPr&gt;&lt;/m:fPr&gt;&lt;m:num&gt;&lt;m:r&gt;&lt;m:rPr&gt;&lt;m:sty m:val=&quot;b&quot;/&gt;&lt;/m:rPr&gt;&lt;w:rPr&gt;&lt;w:rFonts w:ascii=&quot;Cambria Math&quot; w:h-ansi=&quot;Cambria Math&quot;/&gt;&lt;wx:font wx:val=&quot;Cambria Math&quot;/&gt;&lt;w:b/&gt;&lt;w:sz-cs w:val=&quot;20&quot;/&gt;&lt;/w:rPr&gt;&lt;m:t&gt;64&lt;/m:t&gt;&lt;/m:r&gt;&lt;/m:num&gt;&lt;m:den&gt;&lt;m:sSup&gt;&lt;m:sSupPr&gt;&lt;m:ctrlPr&gt;&lt;w:rPr&gt;&lt;w:rFonts w:ascii=&quot;Cambria Math&quot; w:fareast=&quot;Gulim&quot; w:h-ansi=&quot;Cambria Math&quot;/&gt;&lt;wx:font wx:val=&quot;Cambria Math&quot;/&gt;&lt;w:b/&gt;&lt;w:b-cs/&gt;&lt;w:lang w:fareast=&quot;KO&quot;/&gt;&lt;/w:rPr&gt;&lt;/m:ctrlPr&gt;&lt;/m:sSupPr&gt;&lt;m:e&gt;&lt;m:r&gt;&lt;m:rPr&gt;&lt;m:sty m:val=&quot;b&quot;/&gt;&lt;/m:rPr&gt;&lt;w:rPr&gt;&lt;w:rFonts w:ascii=&quot;Cambria Math&quot; w:h-ansi=&quot;Cambria Math&quot;/&gt;&lt;wx:font wx:val=&quot;Cambria Math&quot;/&gt;&lt;w:b/&gt;&lt;w:sz-cs w:val=&quot;20&quot;/&gt;&lt;/w:rPr&gt;&lt;m:t&gt;2&lt;/m:t&gt;&lt;/m:r&gt;&lt;/m:e&gt;&lt;m:sup&gt;&lt;m:r&gt;&lt;m:rPr&gt;&lt;m:sty m:val=&quot;b&quot;/&gt;&lt;/m:rPr&gt;&lt;w:rPr&gt;&lt;w:rFonts w:ascii=&quot;Cambria Math&quot; w:h-ansi=&quot;Cambria Math&quot;/&gt;&lt;wx:font wx:val=&quot;Cambria Math&quot;/&gt;&lt;w:b/&gt;&lt;w:sz-cs w:val=&quot;20&quot;/&gt;&lt;/w:rPr&gt;&lt;m:t&gt;μ&lt;/m:t&gt;&lt;/m:r&gt;&lt;/m:sup&gt;&lt;/m:sSup&gt;&lt;/m:den&gt;&lt;/m:f&gt;&lt;m:r&gt;&lt;m:rPr&gt;&lt;m:sty m:val=&quot;b&quot;/&gt;&lt;/m:rPr&gt;&lt;w:rPr&gt;&lt;w:rFonts w:ascii=&quot;Cambria Math&quot; w:h-ansi=&quot;Cambria Math&quot;/&gt;&lt;wx:font wx:val=&quot;Cambria MathMMM&quot;/t&gt;&lt;w:b/&gt;&lt;w:sz-cs w:val=&quot;20&quot;/&gt;&lt;/w:rPr&gt;&lt;m:t&gt;?&lt;/m:t&gt;&lt;/m:r&gt;&lt;m:sSub&gt;&lt;m:sSubPr&gt;&lt;m:ctrlPr&gt;&lt;w:rPr&gt;&lt;w:rFonts w:ascii=&quot;Cambria Math&quot; w:fareast=&quot;Gulim&quot; w:h-ansi=&quot;Cambria Math&quot;/&gt;&lt;wx:font wx:val=&quot;Cambria Math&quot;/&gt;&lt;w:b/&gt;&lt;w:b-cs/&gt;&lt;w:lang w:fareast=&quot;KO&quot;/&gt;&lt;/w:rPr&gt;&lt;/m:ctrlPr&gt;&lt;/m:sSubPr&gt;&lt;m:e&gt;&lt;m:r&gt;&lt;m:rPr&gt;&lt;m:sty m:val=&quot;b&quot;/&gt;&lt;/m:rPr&gt;&lt;w:rPr&gt;&lt;w:rFonts w:ascii=&quot;Cambria Math&quot; w:h-ansi=&quot;Cambria Math&quot;/&gt;&lt;wx:font wx:val=&quot;Cambria Math&quot;/&gt;&lt;w:b/&gt;&lt;w:sz-cs w:val=&quot;20&quot;/&gt;&lt;/w:rPr&gt;&lt;m:t&gt;T&lt;/m:t&gt;&lt;/m:r&gt;&lt;/m:e&gt;&lt;m:sub&gt;&lt;m:r&gt;&lt;m:rPr&gt;&lt;m:sty m:val=&quot;b&quot;/&gt;&lt;/m:rPr&gt;&lt;w:rPr&gt;&lt;w:rFonts w:ascii=&quot;Cambria Math&quot; w:h-ansi=&quot;Cambria Math&quot;/&gt;&lt;wx:font wx:val=&quot;Cambria Math&quot;/&gt;&lt;w:b/&gt;&lt;w:sz-cs w:val=&quot;20&quot;/&gt;&lt;/w:rPr&gt;&lt;m:t&gt;c&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Pr>
          <w:rFonts w:ascii="Times New Roman" w:hAnsi="Times New Roman"/>
          <w:i/>
          <w:iCs/>
          <w:sz w:val="20"/>
          <w:szCs w:val="20"/>
        </w:rPr>
        <w:fldChar w:fldCharType="end"/>
      </w:r>
    </w:p>
    <w:p w:rsidR="00EA0F38" w:rsidRDefault="0096751C">
      <w:pPr>
        <w:numPr>
          <w:ilvl w:val="0"/>
          <w:numId w:val="5"/>
        </w:numPr>
        <w:adjustRightInd w:val="0"/>
        <w:snapToGrid w:val="0"/>
        <w:spacing w:after="0" w:line="240" w:lineRule="auto"/>
        <w:jc w:val="both"/>
      </w:pPr>
      <w:r>
        <w:rPr>
          <w:rFonts w:ascii="Times New Roman" w:hAnsi="Times New Roman"/>
          <w:i/>
          <w:iCs/>
          <w:sz w:val="20"/>
          <w:szCs w:val="20"/>
        </w:rPr>
        <w:t> μ is the highest allowed numerology supported for data, for the given Frequency Range</w:t>
      </w:r>
    </w:p>
    <w:p w:rsidR="00EA0F38" w:rsidRDefault="0096751C">
      <w:pPr>
        <w:adjustRightInd w:val="0"/>
        <w:snapToGrid w:val="0"/>
        <w:spacing w:after="0" w:line="240" w:lineRule="auto"/>
        <w:ind w:leftChars="200" w:left="440"/>
        <w:jc w:val="both"/>
        <w:rPr>
          <w:rFonts w:ascii="Times New Roman" w:hAnsi="Times New Roman"/>
          <w:i/>
          <w:iCs/>
          <w:sz w:val="20"/>
          <w:szCs w:val="20"/>
          <w:u w:val="single"/>
        </w:rPr>
      </w:pPr>
      <w:r>
        <w:rPr>
          <w:rFonts w:ascii="Times New Roman" w:hAnsi="Times New Roman"/>
          <w:i/>
          <w:iCs/>
          <w:sz w:val="20"/>
          <w:szCs w:val="20"/>
          <w:u w:val="single"/>
        </w:rPr>
        <w:t>Conclusion:</w:t>
      </w:r>
    </w:p>
    <w:p w:rsidR="00EA0F38" w:rsidRDefault="0096751C">
      <w:pPr>
        <w:adjustRightInd w:val="0"/>
        <w:snapToGrid w:val="0"/>
        <w:spacing w:after="0" w:line="240" w:lineRule="auto"/>
        <w:ind w:left="420"/>
        <w:jc w:val="both"/>
        <w:rPr>
          <w:rFonts w:ascii="Times New Roman" w:hAnsi="Times New Roman"/>
          <w:szCs w:val="20"/>
        </w:rPr>
      </w:pPr>
      <w:r>
        <w:rPr>
          <w:rFonts w:ascii="Times New Roman" w:hAnsi="Times New Roman"/>
          <w:i/>
          <w:iCs/>
          <w:sz w:val="20"/>
          <w:szCs w:val="20"/>
        </w:rPr>
        <w:t>Do not define a TA margin.</w:t>
      </w:r>
    </w:p>
    <w:p w:rsidR="00EA0F38" w:rsidRDefault="0096751C">
      <w:pPr>
        <w:adjustRightInd w:val="0"/>
        <w:snapToGrid w:val="0"/>
        <w:spacing w:after="0" w:line="240" w:lineRule="auto"/>
        <w:ind w:leftChars="200" w:left="440"/>
        <w:jc w:val="both"/>
        <w:rPr>
          <w:rFonts w:ascii="Times New Roman" w:hAnsi="Times New Roman"/>
          <w:i/>
          <w:iCs/>
          <w:sz w:val="20"/>
          <w:szCs w:val="20"/>
          <w:highlight w:val="darkYellow"/>
        </w:rPr>
      </w:pPr>
      <w:r>
        <w:rPr>
          <w:rFonts w:ascii="Times New Roman" w:hAnsi="Times New Roman"/>
          <w:i/>
          <w:iCs/>
          <w:sz w:val="20"/>
          <w:szCs w:val="20"/>
          <w:highlight w:val="darkYellow"/>
        </w:rPr>
        <w:t>Working assumption:</w:t>
      </w:r>
    </w:p>
    <w:p w:rsidR="00EA0F38" w:rsidRDefault="0096751C">
      <w:pPr>
        <w:numPr>
          <w:ilvl w:val="0"/>
          <w:numId w:val="7"/>
        </w:numPr>
        <w:adjustRightInd w:val="0"/>
        <w:snapToGrid w:val="0"/>
        <w:spacing w:after="0" w:line="240" w:lineRule="auto"/>
        <w:rPr>
          <w:rFonts w:ascii="Times New Roman" w:hAnsi="Times New Roman"/>
          <w:i/>
          <w:iCs/>
          <w:sz w:val="20"/>
          <w:szCs w:val="20"/>
          <w:lang w:eastAsia="zh-TW"/>
        </w:rPr>
      </w:pPr>
      <w:r>
        <w:rPr>
          <w:rFonts w:ascii="Times New Roman" w:hAnsi="Times New Roman"/>
          <w:i/>
          <w:iCs/>
          <w:sz w:val="20"/>
          <w:szCs w:val="20"/>
          <w:lang w:eastAsia="zh-TW"/>
        </w:rPr>
        <w:t xml:space="preserve">Support serving satellite ephemeris format bit allocations for LEO/MEO/GEO based non-terrestrial access </w:t>
      </w:r>
      <w:proofErr w:type="gramStart"/>
      <w:r>
        <w:rPr>
          <w:rFonts w:ascii="Times New Roman" w:hAnsi="Times New Roman"/>
          <w:i/>
          <w:iCs/>
          <w:sz w:val="20"/>
          <w:szCs w:val="20"/>
          <w:lang w:eastAsia="zh-TW"/>
        </w:rPr>
        <w:t>network.:</w:t>
      </w:r>
      <w:proofErr w:type="gramEnd"/>
    </w:p>
    <w:p w:rsidR="00EA0F38" w:rsidRDefault="0096751C">
      <w:pPr>
        <w:numPr>
          <w:ilvl w:val="1"/>
          <w:numId w:val="7"/>
        </w:numPr>
        <w:adjustRightInd w:val="0"/>
        <w:snapToGrid w:val="0"/>
        <w:spacing w:after="0" w:line="240" w:lineRule="auto"/>
        <w:rPr>
          <w:rFonts w:ascii="Times New Roman" w:hAnsi="Times New Roman"/>
          <w:i/>
          <w:iCs/>
          <w:sz w:val="20"/>
          <w:szCs w:val="20"/>
          <w:lang w:eastAsia="zh-TW"/>
        </w:rPr>
      </w:pPr>
      <w:r>
        <w:rPr>
          <w:rFonts w:ascii="Times New Roman" w:hAnsi="Times New Roman"/>
          <w:i/>
          <w:iCs/>
          <w:sz w:val="20"/>
          <w:szCs w:val="20"/>
          <w:lang w:eastAsia="zh-TW"/>
        </w:rPr>
        <w:t xml:space="preserve">Position and velocity state vector ephemeris format [17 bytes payload]. </w:t>
      </w:r>
    </w:p>
    <w:p w:rsidR="00EA0F38" w:rsidRDefault="0096751C">
      <w:pPr>
        <w:numPr>
          <w:ilvl w:val="2"/>
          <w:numId w:val="7"/>
        </w:numPr>
        <w:adjustRightInd w:val="0"/>
        <w:snapToGrid w:val="0"/>
        <w:spacing w:after="0" w:line="240" w:lineRule="auto"/>
        <w:rPr>
          <w:rFonts w:ascii="Times New Roman" w:hAnsi="Times New Roman"/>
          <w:i/>
          <w:iCs/>
          <w:sz w:val="20"/>
          <w:szCs w:val="20"/>
          <w:lang w:eastAsia="zh-TW"/>
        </w:rPr>
      </w:pPr>
      <w:r>
        <w:rPr>
          <w:rFonts w:ascii="Times New Roman" w:hAnsi="Times New Roman"/>
          <w:i/>
          <w:iCs/>
          <w:sz w:val="20"/>
          <w:szCs w:val="20"/>
          <w:lang w:eastAsia="zh-TW"/>
        </w:rPr>
        <w:t>The field size for position [m]  is [78 bits]</w:t>
      </w:r>
    </w:p>
    <w:p w:rsidR="00EA0F38" w:rsidRDefault="0096751C">
      <w:pPr>
        <w:numPr>
          <w:ilvl w:val="3"/>
          <w:numId w:val="7"/>
        </w:numPr>
        <w:adjustRightInd w:val="0"/>
        <w:snapToGrid w:val="0"/>
        <w:spacing w:after="0" w:line="240" w:lineRule="auto"/>
        <w:rPr>
          <w:rFonts w:ascii="Times New Roman" w:hAnsi="Times New Roman"/>
          <w:i/>
          <w:iCs/>
          <w:sz w:val="20"/>
          <w:szCs w:val="20"/>
          <w:lang w:eastAsia="zh-TW"/>
        </w:rPr>
      </w:pPr>
      <w:r>
        <w:rPr>
          <w:rFonts w:ascii="Times New Roman" w:hAnsi="Times New Roman"/>
          <w:i/>
          <w:iCs/>
          <w:sz w:val="20"/>
          <w:szCs w:val="20"/>
          <w:lang w:eastAsia="zh-TW"/>
        </w:rPr>
        <w:t>Position range is driven by GEO : +/- 42 200 km</w:t>
      </w:r>
    </w:p>
    <w:p w:rsidR="00EA0F38" w:rsidRDefault="0096751C">
      <w:pPr>
        <w:numPr>
          <w:ilvl w:val="3"/>
          <w:numId w:val="7"/>
        </w:numPr>
        <w:adjustRightInd w:val="0"/>
        <w:snapToGrid w:val="0"/>
        <w:spacing w:after="0" w:line="240" w:lineRule="auto"/>
        <w:rPr>
          <w:rFonts w:ascii="Times New Roman" w:hAnsi="Times New Roman"/>
          <w:i/>
          <w:iCs/>
          <w:sz w:val="20"/>
          <w:szCs w:val="20"/>
          <w:lang w:eastAsia="zh-TW"/>
        </w:rPr>
      </w:pPr>
      <w:r>
        <w:rPr>
          <w:rFonts w:ascii="Times New Roman" w:hAnsi="Times New Roman"/>
          <w:i/>
          <w:iCs/>
          <w:sz w:val="20"/>
          <w:szCs w:val="20"/>
          <w:lang w:eastAsia="zh-TW"/>
        </w:rPr>
        <w:t>The quantization step is [1.3m] for position</w:t>
      </w:r>
    </w:p>
    <w:p w:rsidR="00EA0F38" w:rsidRDefault="0096751C">
      <w:pPr>
        <w:numPr>
          <w:ilvl w:val="2"/>
          <w:numId w:val="7"/>
        </w:numPr>
        <w:adjustRightInd w:val="0"/>
        <w:snapToGrid w:val="0"/>
        <w:spacing w:after="0" w:line="240" w:lineRule="auto"/>
        <w:rPr>
          <w:rFonts w:ascii="Times New Roman" w:hAnsi="Times New Roman"/>
          <w:i/>
          <w:iCs/>
          <w:sz w:val="20"/>
          <w:szCs w:val="20"/>
          <w:lang w:eastAsia="zh-TW"/>
        </w:rPr>
      </w:pPr>
      <w:r>
        <w:rPr>
          <w:rFonts w:ascii="Times New Roman" w:hAnsi="Times New Roman"/>
          <w:i/>
          <w:iCs/>
          <w:sz w:val="20"/>
          <w:szCs w:val="20"/>
          <w:lang w:eastAsia="zh-TW"/>
        </w:rPr>
        <w:t>The field size for velocity [m/s] is [54 bits]</w:t>
      </w:r>
    </w:p>
    <w:p w:rsidR="00EA0F38" w:rsidRDefault="0096751C">
      <w:pPr>
        <w:numPr>
          <w:ilvl w:val="3"/>
          <w:numId w:val="7"/>
        </w:numPr>
        <w:adjustRightInd w:val="0"/>
        <w:snapToGrid w:val="0"/>
        <w:spacing w:after="0" w:line="240" w:lineRule="auto"/>
        <w:rPr>
          <w:rFonts w:ascii="Times New Roman" w:hAnsi="Times New Roman"/>
          <w:i/>
          <w:iCs/>
          <w:sz w:val="20"/>
          <w:szCs w:val="20"/>
          <w:lang w:eastAsia="zh-TW"/>
        </w:rPr>
      </w:pPr>
      <w:r>
        <w:rPr>
          <w:rFonts w:ascii="Times New Roman" w:hAnsi="Times New Roman"/>
          <w:i/>
          <w:iCs/>
          <w:sz w:val="20"/>
          <w:szCs w:val="20"/>
          <w:lang w:eastAsia="zh-TW"/>
        </w:rPr>
        <w:t>Velocity range is driven by LEO@600 km: +/- 8000 m/s</w:t>
      </w:r>
    </w:p>
    <w:p w:rsidR="00EA0F38" w:rsidRDefault="0096751C">
      <w:pPr>
        <w:numPr>
          <w:ilvl w:val="3"/>
          <w:numId w:val="7"/>
        </w:numPr>
        <w:adjustRightInd w:val="0"/>
        <w:snapToGrid w:val="0"/>
        <w:spacing w:after="0" w:line="240" w:lineRule="auto"/>
        <w:rPr>
          <w:rFonts w:ascii="Times New Roman" w:hAnsi="Times New Roman"/>
          <w:i/>
          <w:iCs/>
          <w:sz w:val="20"/>
          <w:szCs w:val="20"/>
          <w:lang w:eastAsia="zh-TW"/>
        </w:rPr>
      </w:pPr>
      <w:r>
        <w:rPr>
          <w:rFonts w:ascii="Times New Roman" w:hAnsi="Times New Roman"/>
          <w:i/>
          <w:iCs/>
          <w:sz w:val="20"/>
          <w:szCs w:val="20"/>
          <w:lang w:eastAsia="zh-TW"/>
        </w:rPr>
        <w:t>The quantization step is [0.06 m/s] for Velocity</w:t>
      </w:r>
    </w:p>
    <w:p w:rsidR="00EA0F38" w:rsidRDefault="0096751C">
      <w:pPr>
        <w:numPr>
          <w:ilvl w:val="1"/>
          <w:numId w:val="7"/>
        </w:numPr>
        <w:adjustRightInd w:val="0"/>
        <w:snapToGrid w:val="0"/>
        <w:spacing w:after="0" w:line="240" w:lineRule="auto"/>
        <w:rPr>
          <w:rFonts w:ascii="Times New Roman" w:hAnsi="Times New Roman"/>
          <w:i/>
          <w:iCs/>
          <w:sz w:val="20"/>
          <w:szCs w:val="20"/>
          <w:lang w:eastAsia="zh-TW"/>
        </w:rPr>
      </w:pPr>
      <w:r>
        <w:rPr>
          <w:rFonts w:ascii="Times New Roman" w:hAnsi="Times New Roman"/>
          <w:i/>
          <w:iCs/>
          <w:sz w:val="20"/>
          <w:szCs w:val="20"/>
          <w:lang w:eastAsia="zh-TW"/>
        </w:rPr>
        <w:t>Orbital parameter ephemeris format [18 byte payload]</w:t>
      </w:r>
    </w:p>
    <w:p w:rsidR="00EA0F38" w:rsidRDefault="0096751C">
      <w:pPr>
        <w:numPr>
          <w:ilvl w:val="2"/>
          <w:numId w:val="7"/>
        </w:numPr>
        <w:adjustRightInd w:val="0"/>
        <w:snapToGrid w:val="0"/>
        <w:spacing w:after="0" w:line="240" w:lineRule="auto"/>
        <w:rPr>
          <w:rFonts w:ascii="Times New Roman" w:hAnsi="Times New Roman"/>
          <w:i/>
          <w:iCs/>
          <w:sz w:val="20"/>
          <w:szCs w:val="20"/>
          <w:lang w:eastAsia="zh-TW"/>
        </w:rPr>
      </w:pPr>
      <w:r>
        <w:rPr>
          <w:rFonts w:ascii="Times New Roman" w:hAnsi="Times New Roman"/>
          <w:i/>
          <w:iCs/>
          <w:sz w:val="20"/>
          <w:szCs w:val="20"/>
          <w:lang w:eastAsia="zh-TW"/>
        </w:rPr>
        <w:t>Semi-major axis α [m] is [33 bits]</w:t>
      </w:r>
    </w:p>
    <w:p w:rsidR="00EA0F38" w:rsidRDefault="0096751C">
      <w:pPr>
        <w:numPr>
          <w:ilvl w:val="3"/>
          <w:numId w:val="7"/>
        </w:numPr>
        <w:adjustRightInd w:val="0"/>
        <w:snapToGrid w:val="0"/>
        <w:spacing w:after="0" w:line="240" w:lineRule="auto"/>
        <w:rPr>
          <w:rFonts w:ascii="Times New Roman" w:hAnsi="Times New Roman"/>
          <w:i/>
          <w:iCs/>
          <w:sz w:val="20"/>
          <w:szCs w:val="20"/>
          <w:lang w:eastAsia="zh-TW"/>
        </w:rPr>
      </w:pPr>
      <w:r>
        <w:rPr>
          <w:rFonts w:ascii="Times New Roman" w:hAnsi="Times New Roman"/>
          <w:i/>
          <w:iCs/>
          <w:sz w:val="20"/>
          <w:szCs w:val="20"/>
          <w:lang w:eastAsia="zh-TW"/>
        </w:rPr>
        <w:lastRenderedPageBreak/>
        <w:t>Range: [6500, 43000]km</w:t>
      </w:r>
    </w:p>
    <w:p w:rsidR="00EA0F38" w:rsidRDefault="0096751C">
      <w:pPr>
        <w:numPr>
          <w:ilvl w:val="2"/>
          <w:numId w:val="7"/>
        </w:numPr>
        <w:adjustRightInd w:val="0"/>
        <w:snapToGrid w:val="0"/>
        <w:spacing w:after="0" w:line="240" w:lineRule="auto"/>
        <w:rPr>
          <w:rFonts w:ascii="Times New Roman" w:hAnsi="Times New Roman"/>
          <w:i/>
          <w:iCs/>
          <w:sz w:val="20"/>
          <w:szCs w:val="20"/>
          <w:lang w:eastAsia="zh-TW"/>
        </w:rPr>
      </w:pPr>
      <w:r>
        <w:rPr>
          <w:rFonts w:ascii="Times New Roman" w:hAnsi="Times New Roman"/>
          <w:i/>
          <w:iCs/>
          <w:sz w:val="20"/>
          <w:szCs w:val="20"/>
          <w:lang w:eastAsia="zh-TW"/>
        </w:rPr>
        <w:t>Eccentricity e is [19 bits]</w:t>
      </w:r>
    </w:p>
    <w:p w:rsidR="00EA0F38" w:rsidRDefault="0096751C">
      <w:pPr>
        <w:numPr>
          <w:ilvl w:val="3"/>
          <w:numId w:val="7"/>
        </w:numPr>
        <w:adjustRightInd w:val="0"/>
        <w:snapToGrid w:val="0"/>
        <w:spacing w:after="0" w:line="240" w:lineRule="auto"/>
        <w:rPr>
          <w:rFonts w:ascii="Times New Roman" w:hAnsi="Times New Roman"/>
          <w:i/>
          <w:iCs/>
          <w:sz w:val="20"/>
          <w:szCs w:val="20"/>
          <w:lang w:eastAsia="zh-TW"/>
        </w:rPr>
      </w:pPr>
      <w:r>
        <w:rPr>
          <w:rFonts w:ascii="Times New Roman" w:hAnsi="Times New Roman"/>
          <w:i/>
          <w:iCs/>
          <w:sz w:val="20"/>
          <w:szCs w:val="20"/>
          <w:lang w:eastAsia="zh-TW"/>
        </w:rPr>
        <w:t>Range: ≤ 0.015</w:t>
      </w:r>
    </w:p>
    <w:p w:rsidR="00EA0F38" w:rsidRDefault="0096751C">
      <w:pPr>
        <w:numPr>
          <w:ilvl w:val="2"/>
          <w:numId w:val="7"/>
        </w:numPr>
        <w:adjustRightInd w:val="0"/>
        <w:snapToGrid w:val="0"/>
        <w:spacing w:after="0" w:line="240" w:lineRule="auto"/>
        <w:rPr>
          <w:rFonts w:ascii="Times New Roman" w:hAnsi="Times New Roman"/>
          <w:i/>
          <w:iCs/>
          <w:sz w:val="20"/>
          <w:szCs w:val="20"/>
          <w:lang w:eastAsia="zh-TW"/>
        </w:rPr>
      </w:pPr>
      <w:r>
        <w:rPr>
          <w:rFonts w:ascii="Times New Roman" w:hAnsi="Times New Roman"/>
          <w:i/>
          <w:iCs/>
          <w:sz w:val="20"/>
          <w:szCs w:val="20"/>
          <w:lang w:eastAsia="zh-TW"/>
        </w:rPr>
        <w:t xml:space="preserve">Argument of periapsis ω [rad] is [24 bits] </w:t>
      </w:r>
    </w:p>
    <w:p w:rsidR="00EA0F38" w:rsidRDefault="0096751C">
      <w:pPr>
        <w:numPr>
          <w:ilvl w:val="3"/>
          <w:numId w:val="7"/>
        </w:numPr>
        <w:adjustRightInd w:val="0"/>
        <w:snapToGrid w:val="0"/>
        <w:spacing w:after="0" w:line="240" w:lineRule="auto"/>
        <w:rPr>
          <w:rFonts w:ascii="Times New Roman" w:hAnsi="Times New Roman"/>
          <w:i/>
          <w:iCs/>
          <w:sz w:val="20"/>
          <w:szCs w:val="20"/>
          <w:lang w:eastAsia="zh-TW"/>
        </w:rPr>
      </w:pPr>
      <w:r>
        <w:rPr>
          <w:rFonts w:ascii="Times New Roman" w:hAnsi="Times New Roman"/>
          <w:i/>
          <w:iCs/>
          <w:sz w:val="20"/>
          <w:szCs w:val="20"/>
          <w:lang w:eastAsia="zh-TW"/>
        </w:rPr>
        <w:t>Range: [0, 2π]</w:t>
      </w:r>
    </w:p>
    <w:p w:rsidR="00EA0F38" w:rsidRDefault="0096751C">
      <w:pPr>
        <w:numPr>
          <w:ilvl w:val="2"/>
          <w:numId w:val="7"/>
        </w:numPr>
        <w:adjustRightInd w:val="0"/>
        <w:snapToGrid w:val="0"/>
        <w:spacing w:after="0" w:line="240" w:lineRule="auto"/>
        <w:rPr>
          <w:rFonts w:ascii="Times New Roman" w:hAnsi="Times New Roman"/>
          <w:i/>
          <w:iCs/>
          <w:sz w:val="20"/>
          <w:szCs w:val="20"/>
          <w:lang w:eastAsia="zh-TW"/>
        </w:rPr>
      </w:pPr>
      <w:r>
        <w:rPr>
          <w:rFonts w:ascii="Times New Roman" w:hAnsi="Times New Roman"/>
          <w:i/>
          <w:iCs/>
          <w:sz w:val="20"/>
          <w:szCs w:val="20"/>
          <w:lang w:eastAsia="zh-TW"/>
        </w:rPr>
        <w:t>Longitude of ascending node Ω [rad] is [21 bits]</w:t>
      </w:r>
    </w:p>
    <w:p w:rsidR="00EA0F38" w:rsidRDefault="0096751C">
      <w:pPr>
        <w:numPr>
          <w:ilvl w:val="3"/>
          <w:numId w:val="7"/>
        </w:numPr>
        <w:adjustRightInd w:val="0"/>
        <w:snapToGrid w:val="0"/>
        <w:spacing w:after="0" w:line="240" w:lineRule="auto"/>
        <w:rPr>
          <w:rFonts w:ascii="Times New Roman" w:hAnsi="Times New Roman"/>
          <w:i/>
          <w:iCs/>
          <w:sz w:val="20"/>
          <w:szCs w:val="20"/>
          <w:lang w:eastAsia="zh-TW"/>
        </w:rPr>
      </w:pPr>
      <w:r>
        <w:rPr>
          <w:rFonts w:ascii="Times New Roman" w:hAnsi="Times New Roman"/>
          <w:i/>
          <w:iCs/>
          <w:sz w:val="20"/>
          <w:szCs w:val="20"/>
          <w:lang w:eastAsia="zh-TW"/>
        </w:rPr>
        <w:t>Range: [-180o , +180o]</w:t>
      </w:r>
    </w:p>
    <w:p w:rsidR="00EA0F38" w:rsidRDefault="0096751C">
      <w:pPr>
        <w:numPr>
          <w:ilvl w:val="2"/>
          <w:numId w:val="7"/>
        </w:numPr>
        <w:adjustRightInd w:val="0"/>
        <w:snapToGrid w:val="0"/>
        <w:spacing w:after="0" w:line="240" w:lineRule="auto"/>
        <w:rPr>
          <w:rFonts w:ascii="Times New Roman" w:hAnsi="Times New Roman"/>
          <w:i/>
          <w:iCs/>
          <w:sz w:val="20"/>
          <w:szCs w:val="20"/>
          <w:lang w:eastAsia="zh-TW"/>
        </w:rPr>
      </w:pPr>
      <w:r>
        <w:rPr>
          <w:rFonts w:ascii="Times New Roman" w:hAnsi="Times New Roman"/>
          <w:i/>
          <w:iCs/>
          <w:sz w:val="20"/>
          <w:szCs w:val="20"/>
          <w:lang w:eastAsia="zh-TW"/>
        </w:rPr>
        <w:t xml:space="preserve">Inclination </w:t>
      </w:r>
      <w:proofErr w:type="spellStart"/>
      <w:r>
        <w:rPr>
          <w:rFonts w:ascii="Times New Roman" w:hAnsi="Times New Roman"/>
          <w:i/>
          <w:iCs/>
          <w:sz w:val="20"/>
          <w:szCs w:val="20"/>
          <w:lang w:eastAsia="zh-TW"/>
        </w:rPr>
        <w:t>i</w:t>
      </w:r>
      <w:proofErr w:type="spellEnd"/>
      <w:r>
        <w:rPr>
          <w:rFonts w:ascii="Times New Roman" w:hAnsi="Times New Roman"/>
          <w:i/>
          <w:iCs/>
          <w:sz w:val="20"/>
          <w:szCs w:val="20"/>
          <w:lang w:eastAsia="zh-TW"/>
        </w:rPr>
        <w:t xml:space="preserve"> [rad] is [20 bits]</w:t>
      </w:r>
    </w:p>
    <w:p w:rsidR="00EA0F38" w:rsidRDefault="0096751C">
      <w:pPr>
        <w:numPr>
          <w:ilvl w:val="3"/>
          <w:numId w:val="7"/>
        </w:numPr>
        <w:adjustRightInd w:val="0"/>
        <w:snapToGrid w:val="0"/>
        <w:spacing w:after="0" w:line="240" w:lineRule="auto"/>
        <w:rPr>
          <w:rFonts w:ascii="Times New Roman" w:hAnsi="Times New Roman"/>
          <w:i/>
          <w:iCs/>
          <w:sz w:val="20"/>
          <w:szCs w:val="20"/>
          <w:lang w:eastAsia="zh-TW"/>
        </w:rPr>
      </w:pPr>
      <w:r>
        <w:rPr>
          <w:rFonts w:ascii="Times New Roman" w:hAnsi="Times New Roman"/>
          <w:i/>
          <w:iCs/>
          <w:sz w:val="20"/>
          <w:szCs w:val="20"/>
          <w:lang w:eastAsia="zh-TW"/>
        </w:rPr>
        <w:t>Range: [-90o  , +90o ]</w:t>
      </w:r>
    </w:p>
    <w:p w:rsidR="00EA0F38" w:rsidRDefault="0096751C">
      <w:pPr>
        <w:numPr>
          <w:ilvl w:val="2"/>
          <w:numId w:val="7"/>
        </w:numPr>
        <w:adjustRightInd w:val="0"/>
        <w:snapToGrid w:val="0"/>
        <w:spacing w:after="0" w:line="240" w:lineRule="auto"/>
        <w:rPr>
          <w:rFonts w:ascii="Times New Roman" w:hAnsi="Times New Roman"/>
          <w:i/>
          <w:iCs/>
          <w:sz w:val="20"/>
          <w:szCs w:val="20"/>
          <w:lang w:eastAsia="zh-TW"/>
        </w:rPr>
      </w:pPr>
      <w:r>
        <w:rPr>
          <w:rFonts w:ascii="Times New Roman" w:hAnsi="Times New Roman"/>
          <w:i/>
          <w:iCs/>
          <w:sz w:val="20"/>
          <w:szCs w:val="20"/>
          <w:lang w:eastAsia="zh-TW"/>
        </w:rPr>
        <w:t>Mean anomaly M [rad] at epoch time to is [24 bits]</w:t>
      </w:r>
    </w:p>
    <w:p w:rsidR="00EA0F38" w:rsidRDefault="0096751C">
      <w:pPr>
        <w:numPr>
          <w:ilvl w:val="3"/>
          <w:numId w:val="7"/>
        </w:numPr>
        <w:adjustRightInd w:val="0"/>
        <w:snapToGrid w:val="0"/>
        <w:spacing w:after="0" w:line="240" w:lineRule="auto"/>
        <w:rPr>
          <w:rFonts w:ascii="Times New Roman" w:hAnsi="Times New Roman"/>
          <w:i/>
          <w:iCs/>
          <w:sz w:val="20"/>
          <w:szCs w:val="20"/>
          <w:lang w:eastAsia="zh-TW"/>
        </w:rPr>
      </w:pPr>
      <w:r>
        <w:rPr>
          <w:rFonts w:ascii="Times New Roman" w:hAnsi="Times New Roman"/>
          <w:i/>
          <w:iCs/>
          <w:sz w:val="20"/>
          <w:szCs w:val="20"/>
          <w:lang w:eastAsia="zh-TW"/>
        </w:rPr>
        <w:t>Range: [0, 2π]</w:t>
      </w:r>
    </w:p>
    <w:p w:rsidR="00EA0F38" w:rsidRDefault="0096751C">
      <w:pPr>
        <w:numPr>
          <w:ilvl w:val="0"/>
          <w:numId w:val="7"/>
        </w:numPr>
        <w:adjustRightInd w:val="0"/>
        <w:snapToGrid w:val="0"/>
        <w:spacing w:after="0" w:line="240" w:lineRule="auto"/>
        <w:rPr>
          <w:rFonts w:ascii="Times New Roman" w:hAnsi="Times New Roman"/>
          <w:i/>
          <w:iCs/>
          <w:sz w:val="20"/>
          <w:szCs w:val="20"/>
          <w:lang w:eastAsia="ko-KR"/>
        </w:rPr>
      </w:pPr>
      <w:r>
        <w:rPr>
          <w:rFonts w:ascii="Times New Roman" w:hAnsi="Times New Roman"/>
          <w:i/>
          <w:iCs/>
          <w:sz w:val="20"/>
          <w:szCs w:val="20"/>
          <w:lang w:eastAsia="zh-TW"/>
        </w:rPr>
        <w:t>FFS: Additional enhancement to optimize the signalling overhead.</w:t>
      </w:r>
    </w:p>
    <w:p w:rsidR="00EA0F38" w:rsidRDefault="0096751C">
      <w:pPr>
        <w:numPr>
          <w:ilvl w:val="0"/>
          <w:numId w:val="7"/>
        </w:numPr>
        <w:adjustRightInd w:val="0"/>
        <w:snapToGrid w:val="0"/>
        <w:spacing w:after="0" w:line="240" w:lineRule="auto"/>
        <w:rPr>
          <w:rFonts w:ascii="Times New Roman" w:hAnsi="Times New Roman"/>
          <w:sz w:val="20"/>
          <w:szCs w:val="20"/>
        </w:rPr>
      </w:pPr>
      <w:r>
        <w:rPr>
          <w:rFonts w:ascii="Times New Roman" w:hAnsi="Times New Roman"/>
          <w:i/>
          <w:iCs/>
          <w:sz w:val="20"/>
          <w:szCs w:val="20"/>
          <w:lang w:eastAsia="zh-TW"/>
        </w:rPr>
        <w:t>FFS: Ephemeris format bit allocations for HAPS</w:t>
      </w:r>
    </w:p>
    <w:p w:rsidR="00EA0F38" w:rsidRDefault="0096751C">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 xml:space="preserve">In this contribution, </w:t>
      </w:r>
      <w:r>
        <w:rPr>
          <w:rFonts w:ascii="Times New Roman" w:hAnsi="Times New Roman" w:hint="eastAsia"/>
          <w:sz w:val="20"/>
          <w:szCs w:val="20"/>
        </w:rPr>
        <w:t xml:space="preserve">the remaining issues </w:t>
      </w:r>
      <w:r>
        <w:rPr>
          <w:rFonts w:ascii="Times New Roman" w:hAnsi="Times New Roman"/>
          <w:sz w:val="20"/>
          <w:szCs w:val="20"/>
        </w:rPr>
        <w:t xml:space="preserve">for UL synchronization are elaborated with corresponding analysis and simulation results. </w:t>
      </w:r>
    </w:p>
    <w:p w:rsidR="00EA0F38" w:rsidRDefault="0096751C">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UL timing synchronization</w:t>
      </w:r>
    </w:p>
    <w:p w:rsidR="00EA0F38" w:rsidRDefault="0096751C">
      <w:pPr>
        <w:pStyle w:val="2"/>
        <w:numPr>
          <w:ilvl w:val="1"/>
          <w:numId w:val="8"/>
        </w:numPr>
        <w:rPr>
          <w:rFonts w:ascii="Times New Roman" w:eastAsia="宋体" w:hAnsi="Times New Roman" w:cs="Times New Roman"/>
          <w:sz w:val="20"/>
          <w:szCs w:val="20"/>
          <w:lang w:val="en-US"/>
        </w:rPr>
      </w:pPr>
      <w:bookmarkStart w:id="3" w:name="_Ref27980"/>
      <w:r>
        <w:rPr>
          <w:rFonts w:ascii="Times New Roman" w:eastAsia="宋体" w:hAnsi="Times New Roman" w:cs="Times New Roman"/>
          <w:sz w:val="24"/>
          <w:szCs w:val="24"/>
          <w:lang w:val="en-US"/>
        </w:rPr>
        <w:t>Indication of c</w:t>
      </w:r>
      <w:r>
        <w:rPr>
          <w:rFonts w:ascii="Times New Roman" w:eastAsia="宋体" w:hAnsi="Times New Roman" w:cs="Times New Roman" w:hint="eastAsia"/>
          <w:sz w:val="24"/>
          <w:szCs w:val="24"/>
          <w:lang w:val="en-US"/>
        </w:rPr>
        <w:t xml:space="preserve">ommon </w:t>
      </w:r>
      <w:r>
        <w:rPr>
          <w:rFonts w:ascii="Times New Roman" w:eastAsia="宋体" w:hAnsi="Times New Roman" w:cs="Times New Roman"/>
          <w:sz w:val="24"/>
          <w:szCs w:val="24"/>
          <w:lang w:val="en-US"/>
        </w:rPr>
        <w:t>TA</w:t>
      </w:r>
      <w:bookmarkEnd w:id="3"/>
      <w:r>
        <w:rPr>
          <w:rFonts w:ascii="Times New Roman" w:eastAsia="宋体" w:hAnsi="Times New Roman" w:cs="Times New Roman" w:hint="eastAsia"/>
          <w:sz w:val="24"/>
          <w:szCs w:val="24"/>
          <w:lang w:val="en-US"/>
        </w:rPr>
        <w:t xml:space="preserve"> drift rate</w:t>
      </w:r>
    </w:p>
    <w:p w:rsidR="00EA0F38" w:rsidRDefault="0096751C">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RAN1#106b-e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_Ref32552 \n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as mentioned above, </w:t>
      </w:r>
      <w:r>
        <w:rPr>
          <w:rFonts w:ascii="Times New Roman" w:eastAsia="宋体" w:hAnsi="Times New Roman" w:cs="Times New Roman" w:hint="eastAsia"/>
          <w:sz w:val="20"/>
          <w:szCs w:val="20"/>
        </w:rPr>
        <w:t xml:space="preserve">it has been agreed that network may optionally </w:t>
      </w:r>
      <w:r>
        <w:rPr>
          <w:rFonts w:ascii="Times New Roman" w:hAnsi="Times New Roman"/>
          <w:sz w:val="20"/>
          <w:szCs w:val="20"/>
        </w:rPr>
        <w:t>indicate one or more</w:t>
      </w:r>
      <w:r>
        <w:rPr>
          <w:rFonts w:ascii="Times New Roman" w:hAnsi="Times New Roman" w:hint="eastAsia"/>
          <w:sz w:val="20"/>
          <w:szCs w:val="20"/>
        </w:rPr>
        <w:t xml:space="preserve"> of common TA, c</w:t>
      </w:r>
      <w:r>
        <w:rPr>
          <w:rFonts w:ascii="Times New Roman" w:hAnsi="Times New Roman"/>
          <w:sz w:val="20"/>
          <w:szCs w:val="20"/>
        </w:rPr>
        <w:t xml:space="preserve">ommon TA drift rate and </w:t>
      </w:r>
      <w:r>
        <w:rPr>
          <w:rFonts w:ascii="Times New Roman" w:hAnsi="Times New Roman" w:hint="eastAsia"/>
          <w:sz w:val="20"/>
          <w:szCs w:val="20"/>
        </w:rPr>
        <w:t>c</w:t>
      </w:r>
      <w:r>
        <w:rPr>
          <w:rFonts w:ascii="Times New Roman" w:hAnsi="Times New Roman"/>
          <w:sz w:val="20"/>
          <w:szCs w:val="20"/>
        </w:rPr>
        <w:t>ommon TA drift rate variation.</w:t>
      </w:r>
      <w:r>
        <w:rPr>
          <w:rFonts w:ascii="Times New Roman" w:eastAsia="宋体" w:hAnsi="Times New Roman" w:cs="Times New Roman" w:hint="eastAsia"/>
          <w:sz w:val="20"/>
          <w:szCs w:val="20"/>
        </w:rPr>
        <w:t xml:space="preserve"> Whether to indicate third order drift derivative and how to combine the common TA parameters are not determined yet. Due to </w:t>
      </w:r>
      <w:r>
        <w:rPr>
          <w:rFonts w:ascii="Times New Roman" w:eastAsia="宋体" w:hAnsi="Times New Roman" w:cs="Times New Roman"/>
          <w:sz w:val="20"/>
          <w:szCs w:val="20"/>
        </w:rPr>
        <w:t xml:space="preserve">the </w:t>
      </w:r>
      <w:r>
        <w:rPr>
          <w:rFonts w:ascii="Times New Roman" w:eastAsia="宋体" w:hAnsi="Times New Roman" w:cs="Times New Roman" w:hint="eastAsia"/>
          <w:sz w:val="20"/>
          <w:szCs w:val="20"/>
        </w:rPr>
        <w:t xml:space="preserve">nonlinear variation of common TA, </w:t>
      </w:r>
      <w:r>
        <w:rPr>
          <w:rFonts w:ascii="Times New Roman" w:eastAsia="宋体" w:hAnsi="Times New Roman" w:cs="Times New Roman"/>
          <w:sz w:val="20"/>
          <w:szCs w:val="20"/>
        </w:rPr>
        <w:t xml:space="preserve">indication of the </w:t>
      </w:r>
      <w:r>
        <w:rPr>
          <w:rFonts w:ascii="Times New Roman" w:eastAsia="宋体" w:hAnsi="Times New Roman" w:cs="Times New Roman" w:hint="eastAsia"/>
          <w:sz w:val="20"/>
          <w:szCs w:val="20"/>
        </w:rPr>
        <w:t>high</w:t>
      </w:r>
      <w:r>
        <w:rPr>
          <w:rFonts w:ascii="Times New Roman" w:eastAsia="宋体" w:hAnsi="Times New Roman" w:cs="Times New Roman"/>
          <w:sz w:val="20"/>
          <w:szCs w:val="20"/>
        </w:rPr>
        <w:t>er</w:t>
      </w:r>
      <w:r>
        <w:rPr>
          <w:rFonts w:ascii="Times New Roman" w:eastAsia="宋体" w:hAnsi="Times New Roman" w:cs="Times New Roman" w:hint="eastAsia"/>
          <w:sz w:val="20"/>
          <w:szCs w:val="20"/>
        </w:rPr>
        <w:t xml:space="preserve"> order drift rates could be</w:t>
      </w:r>
      <w:r>
        <w:rPr>
          <w:rFonts w:ascii="Times New Roman" w:eastAsia="宋体" w:hAnsi="Times New Roman" w:cs="Times New Roman"/>
          <w:sz w:val="20"/>
          <w:szCs w:val="20"/>
        </w:rPr>
        <w:t xml:space="preserve"> beneficial for the performance of UL synchronization with better prediction performance at UE side</w:t>
      </w:r>
      <w:r>
        <w:rPr>
          <w:rFonts w:ascii="Times New Roman" w:eastAsia="宋体" w:hAnsi="Times New Roman" w:cs="Times New Roman" w:hint="eastAsia"/>
          <w:sz w:val="20"/>
          <w:szCs w:val="20"/>
        </w:rPr>
        <w:t>. For LEO-600, the detailed evaluations</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on maximum residual </w:t>
      </w:r>
      <w:r>
        <w:rPr>
          <w:rFonts w:ascii="Times New Roman" w:eastAsia="宋体" w:hAnsi="Times New Roman" w:cs="Times New Roman"/>
          <w:sz w:val="20"/>
          <w:szCs w:val="20"/>
        </w:rPr>
        <w:t>error of common TA autonomously predicted by UE</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based</w:t>
      </w:r>
      <w:r>
        <w:rPr>
          <w:rFonts w:ascii="Times New Roman" w:eastAsia="宋体" w:hAnsi="Times New Roman" w:cs="Times New Roman" w:hint="eastAsia"/>
          <w:sz w:val="20"/>
          <w:szCs w:val="20"/>
        </w:rPr>
        <w:t xml:space="preserve"> on optimized common TA and drift rates are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_Ref22492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sz w:val="20"/>
          <w:szCs w:val="20"/>
        </w:rPr>
        <w:t>Table 1</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The optimized parameters are determined by numerical </w:t>
      </w:r>
      <w:r>
        <w:rPr>
          <w:rFonts w:ascii="Times New Roman" w:eastAsia="宋体" w:hAnsi="Times New Roman" w:cs="Times New Roman"/>
          <w:sz w:val="20"/>
          <w:szCs w:val="20"/>
        </w:rPr>
        <w:t>optimization</w:t>
      </w:r>
      <w:r>
        <w:rPr>
          <w:rFonts w:ascii="Times New Roman" w:eastAsia="宋体" w:hAnsi="Times New Roman" w:cs="Times New Roman" w:hint="eastAsia"/>
          <w:sz w:val="20"/>
          <w:szCs w:val="20"/>
        </w:rPr>
        <w:t xml:space="preserve"> on classical minimax problem. </w:t>
      </w:r>
    </w:p>
    <w:p w:rsidR="00EA0F38" w:rsidRDefault="0096751C">
      <w:pPr>
        <w:pStyle w:val="a3"/>
        <w:spacing w:beforeLines="50" w:before="120" w:afterLines="50"/>
        <w:ind w:leftChars="200" w:left="440"/>
        <w:rPr>
          <w:lang w:val="en-US"/>
        </w:rPr>
      </w:pPr>
      <w:bookmarkStart w:id="4" w:name="_Ref22492"/>
      <w:bookmarkStart w:id="5" w:name="_Ref6798"/>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bookmarkEnd w:id="4"/>
      <w:r>
        <w:rPr>
          <w:b w:val="0"/>
          <w:lang w:val="en-US"/>
        </w:rPr>
        <w:t xml:space="preserve"> </w:t>
      </w:r>
      <w:r>
        <w:rPr>
          <w:rFonts w:hint="eastAsia"/>
          <w:b w:val="0"/>
          <w:lang w:val="en-US"/>
        </w:rPr>
        <w:t>Maximum residual error of common TA autonomously predicted by UE based on optimized common TA and drift rates</w:t>
      </w:r>
      <w:bookmarkEnd w:id="5"/>
    </w:p>
    <w:tbl>
      <w:tblPr>
        <w:tblStyle w:val="aa"/>
        <w:tblW w:w="8992" w:type="dxa"/>
        <w:jc w:val="center"/>
        <w:tblLayout w:type="fixed"/>
        <w:tblLook w:val="04A0" w:firstRow="1" w:lastRow="0" w:firstColumn="1" w:lastColumn="0" w:noHBand="0" w:noVBand="1"/>
      </w:tblPr>
      <w:tblGrid>
        <w:gridCol w:w="2229"/>
        <w:gridCol w:w="1127"/>
        <w:gridCol w:w="1127"/>
        <w:gridCol w:w="1127"/>
        <w:gridCol w:w="1127"/>
        <w:gridCol w:w="1127"/>
        <w:gridCol w:w="1128"/>
      </w:tblGrid>
      <w:tr w:rsidR="00EA0F38">
        <w:trPr>
          <w:jc w:val="center"/>
        </w:trPr>
        <w:tc>
          <w:tcPr>
            <w:tcW w:w="2229"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Indication period</w:t>
            </w:r>
          </w:p>
        </w:tc>
        <w:tc>
          <w:tcPr>
            <w:tcW w:w="112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 s</w:t>
            </w:r>
          </w:p>
        </w:tc>
        <w:tc>
          <w:tcPr>
            <w:tcW w:w="112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5 s</w:t>
            </w:r>
          </w:p>
        </w:tc>
        <w:tc>
          <w:tcPr>
            <w:tcW w:w="112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10 s</w:t>
            </w:r>
          </w:p>
        </w:tc>
        <w:tc>
          <w:tcPr>
            <w:tcW w:w="112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15 s</w:t>
            </w:r>
          </w:p>
        </w:tc>
        <w:tc>
          <w:tcPr>
            <w:tcW w:w="112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20 s</w:t>
            </w:r>
          </w:p>
        </w:tc>
        <w:tc>
          <w:tcPr>
            <w:tcW w:w="1128"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30 s</w:t>
            </w:r>
          </w:p>
        </w:tc>
      </w:tr>
      <w:tr w:rsidR="00EA0F38">
        <w:trPr>
          <w:jc w:val="center"/>
        </w:trPr>
        <w:tc>
          <w:tcPr>
            <w:tcW w:w="2229"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Indicate only first order drift rate</w:t>
            </w:r>
          </w:p>
        </w:tc>
        <w:tc>
          <w:tcPr>
            <w:tcW w:w="112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0.3267 us</w:t>
            </w:r>
          </w:p>
        </w:tc>
        <w:tc>
          <w:tcPr>
            <w:tcW w:w="112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0.9065 us</w:t>
            </w:r>
          </w:p>
        </w:tc>
        <w:tc>
          <w:tcPr>
            <w:tcW w:w="112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3.6086 us</w:t>
            </w:r>
          </w:p>
        </w:tc>
        <w:tc>
          <w:tcPr>
            <w:tcW w:w="112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8.0562 us</w:t>
            </w:r>
          </w:p>
        </w:tc>
        <w:tc>
          <w:tcPr>
            <w:tcW w:w="112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14.1685 us</w:t>
            </w:r>
          </w:p>
        </w:tc>
        <w:tc>
          <w:tcPr>
            <w:tcW w:w="1128"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30.9435 us</w:t>
            </w:r>
          </w:p>
        </w:tc>
      </w:tr>
      <w:tr w:rsidR="00EA0F38">
        <w:trPr>
          <w:jc w:val="center"/>
        </w:trPr>
        <w:tc>
          <w:tcPr>
            <w:tcW w:w="2229"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Indicate first and second order drift rates</w:t>
            </w:r>
          </w:p>
        </w:tc>
        <w:tc>
          <w:tcPr>
            <w:tcW w:w="112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0.0008 us</w:t>
            </w:r>
          </w:p>
        </w:tc>
        <w:tc>
          <w:tcPr>
            <w:tcW w:w="112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0.0039 us</w:t>
            </w:r>
          </w:p>
        </w:tc>
        <w:tc>
          <w:tcPr>
            <w:tcW w:w="112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0.0312 us</w:t>
            </w:r>
          </w:p>
        </w:tc>
        <w:tc>
          <w:tcPr>
            <w:tcW w:w="112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0.1047 us</w:t>
            </w:r>
          </w:p>
        </w:tc>
        <w:tc>
          <w:tcPr>
            <w:tcW w:w="112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0.2429 us</w:t>
            </w:r>
          </w:p>
        </w:tc>
        <w:tc>
          <w:tcPr>
            <w:tcW w:w="1128"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0.8338 us</w:t>
            </w:r>
          </w:p>
        </w:tc>
      </w:tr>
      <w:tr w:rsidR="00EA0F38">
        <w:trPr>
          <w:jc w:val="center"/>
        </w:trPr>
        <w:tc>
          <w:tcPr>
            <w:tcW w:w="2229"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Indicate first, second, and third order drift rates </w:t>
            </w:r>
          </w:p>
        </w:tc>
        <w:tc>
          <w:tcPr>
            <w:tcW w:w="112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0.0001 us</w:t>
            </w:r>
          </w:p>
        </w:tc>
        <w:tc>
          <w:tcPr>
            <w:tcW w:w="112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0.0001 us</w:t>
            </w:r>
          </w:p>
        </w:tc>
        <w:tc>
          <w:tcPr>
            <w:tcW w:w="112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0.0008 us</w:t>
            </w:r>
          </w:p>
        </w:tc>
        <w:tc>
          <w:tcPr>
            <w:tcW w:w="112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0.0039 us</w:t>
            </w:r>
          </w:p>
        </w:tc>
        <w:tc>
          <w:tcPr>
            <w:tcW w:w="112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0.0117 us</w:t>
            </w:r>
          </w:p>
        </w:tc>
        <w:tc>
          <w:tcPr>
            <w:tcW w:w="1128"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0.0513 us</w:t>
            </w:r>
          </w:p>
        </w:tc>
      </w:tr>
    </w:tbl>
    <w:p w:rsidR="00EA0F38" w:rsidRDefault="0096751C">
      <w:pPr>
        <w:spacing w:beforeLines="50" w:before="120"/>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From </w:t>
      </w:r>
      <w:r>
        <w:rPr>
          <w:rFonts w:ascii="Times New Roman" w:eastAsia="宋体" w:hAnsi="Times New Roman" w:cs="Times New Roman" w:hint="eastAsia"/>
          <w:sz w:val="20"/>
          <w:szCs w:val="20"/>
        </w:rPr>
        <w:t xml:space="preserve">evaluation </w:t>
      </w:r>
      <w:r>
        <w:rPr>
          <w:rFonts w:ascii="Times New Roman" w:eastAsia="宋体" w:hAnsi="Times New Roman" w:cs="Times New Roman"/>
          <w:sz w:val="20"/>
          <w:szCs w:val="20"/>
        </w:rPr>
        <w:t>results</w:t>
      </w:r>
      <w:r>
        <w:rPr>
          <w:rFonts w:ascii="Times New Roman" w:eastAsia="宋体" w:hAnsi="Times New Roman" w:cs="Times New Roman" w:hint="eastAsia"/>
          <w:sz w:val="20"/>
          <w:szCs w:val="20"/>
        </w:rPr>
        <w:t xml:space="preserve">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_Ref22492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hAnsi="Times New Roman" w:cs="Times New Roman"/>
          <w:sz w:val="20"/>
          <w:szCs w:val="20"/>
        </w:rPr>
        <w:t>Table 1</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it can be</w:t>
      </w:r>
      <w:r>
        <w:rPr>
          <w:rFonts w:ascii="Times New Roman" w:eastAsia="宋体" w:hAnsi="Times New Roman" w:cs="Times New Roman"/>
          <w:sz w:val="20"/>
          <w:szCs w:val="20"/>
        </w:rPr>
        <w:t xml:space="preserve"> observed that </w:t>
      </w:r>
      <w:r>
        <w:rPr>
          <w:rFonts w:ascii="Times New Roman" w:eastAsia="宋体" w:hAnsi="Times New Roman" w:cs="Times New Roman" w:hint="eastAsia"/>
          <w:sz w:val="20"/>
          <w:szCs w:val="20"/>
        </w:rPr>
        <w:t>indication of up to second order drift rates can ensure the validity duration longer than 10 s even with most strict timing error constraint (</w:t>
      </w:r>
      <w:proofErr w:type="spellStart"/>
      <w:r>
        <w:rPr>
          <w:rFonts w:ascii="Times New Roman" w:eastAsia="宋体" w:hAnsi="Times New Roman" w:cs="Times New Roman" w:hint="eastAsia"/>
          <w:sz w:val="20"/>
          <w:szCs w:val="20"/>
        </w:rPr>
        <w:t>Te</w:t>
      </w:r>
      <w:proofErr w:type="spellEnd"/>
      <w:r>
        <w:rPr>
          <w:rFonts w:ascii="Times New Roman" w:eastAsia="宋体" w:hAnsi="Times New Roman" w:cs="Times New Roman" w:hint="eastAsia"/>
          <w:sz w:val="20"/>
          <w:szCs w:val="20"/>
        </w:rPr>
        <w:t xml:space="preserve"> = 3*64*Tc = 0.098 us). Therefore, indication of third order drift rate is less</w:t>
      </w:r>
      <w:r>
        <w:rPr>
          <w:rFonts w:ascii="Times New Roman" w:eastAsia="宋体" w:hAnsi="Times New Roman" w:cs="Times New Roman"/>
          <w:sz w:val="20"/>
          <w:szCs w:val="20"/>
        </w:rPr>
        <w:t xml:space="preserve"> significant compared to others. For sake of progress, indication of the 3</w:t>
      </w:r>
      <w:r>
        <w:rPr>
          <w:rFonts w:ascii="Times New Roman" w:eastAsia="宋体" w:hAnsi="Times New Roman" w:cs="Times New Roman"/>
          <w:sz w:val="20"/>
          <w:szCs w:val="20"/>
          <w:vertAlign w:val="superscript"/>
        </w:rPr>
        <w:t>rd</w:t>
      </w:r>
      <w:r>
        <w:rPr>
          <w:rFonts w:ascii="Times New Roman" w:eastAsia="宋体" w:hAnsi="Times New Roman" w:cs="Times New Roman"/>
          <w:sz w:val="20"/>
          <w:szCs w:val="20"/>
        </w:rPr>
        <w:t xml:space="preserve"> order can be avoided. </w:t>
      </w:r>
      <w:r>
        <w:rPr>
          <w:rFonts w:ascii="Times New Roman" w:eastAsia="宋体" w:hAnsi="Times New Roman" w:cs="Times New Roman" w:hint="eastAsia"/>
          <w:sz w:val="20"/>
          <w:szCs w:val="20"/>
        </w:rPr>
        <w:t xml:space="preserve"> </w:t>
      </w:r>
    </w:p>
    <w:p w:rsidR="00EA0F38" w:rsidRDefault="0096751C">
      <w:pPr>
        <w:spacing w:beforeLines="50" w:before="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W.r.t. the combination of common TA parameters, some of the combination forms cannot work well in many scenarios. For example, even with a loose timing error constraint (</w:t>
      </w:r>
      <w:proofErr w:type="spellStart"/>
      <w:r>
        <w:rPr>
          <w:rFonts w:ascii="Times New Roman" w:eastAsia="宋体" w:hAnsi="Times New Roman" w:cs="Times New Roman" w:hint="eastAsia"/>
          <w:sz w:val="20"/>
          <w:szCs w:val="20"/>
        </w:rPr>
        <w:t>Te</w:t>
      </w:r>
      <w:proofErr w:type="spellEnd"/>
      <w:r>
        <w:rPr>
          <w:rFonts w:ascii="Times New Roman" w:eastAsia="宋体" w:hAnsi="Times New Roman" w:cs="Times New Roman" w:hint="eastAsia"/>
          <w:sz w:val="20"/>
          <w:szCs w:val="20"/>
        </w:rPr>
        <w:t xml:space="preserve"> = 12*64*Tc = 0.39 us, which is applied when SCS = </w:t>
      </w:r>
      <w:proofErr w:type="gramStart"/>
      <w:r>
        <w:rPr>
          <w:rFonts w:ascii="Times New Roman" w:eastAsia="宋体" w:hAnsi="Times New Roman" w:cs="Times New Roman" w:hint="eastAsia"/>
          <w:sz w:val="20"/>
          <w:szCs w:val="20"/>
        </w:rPr>
        <w:t>15kHz</w:t>
      </w:r>
      <w:proofErr w:type="gramEnd"/>
      <w:r>
        <w:rPr>
          <w:rFonts w:ascii="Times New Roman" w:eastAsia="宋体" w:hAnsi="Times New Roman" w:cs="Times New Roman" w:hint="eastAsia"/>
          <w:sz w:val="20"/>
          <w:szCs w:val="20"/>
        </w:rPr>
        <w:t xml:space="preserve">), the combination {common TA, common TA drift rate} cannot ensure long enough indication period in LEO-600 (around 3 s). If only common TA is indicated, the indication period should be even much shorter. Therefore, it is reasonable to only support the combination {common TA, common TA drift rate, </w:t>
      </w:r>
      <w:proofErr w:type="gramStart"/>
      <w:r>
        <w:rPr>
          <w:rFonts w:ascii="Times New Roman" w:eastAsia="宋体" w:hAnsi="Times New Roman" w:cs="Times New Roman" w:hint="eastAsia"/>
          <w:sz w:val="20"/>
          <w:szCs w:val="20"/>
        </w:rPr>
        <w:t>common</w:t>
      </w:r>
      <w:proofErr w:type="gramEnd"/>
      <w:r>
        <w:rPr>
          <w:rFonts w:ascii="Times New Roman" w:eastAsia="宋体" w:hAnsi="Times New Roman" w:cs="Times New Roman" w:hint="eastAsia"/>
          <w:sz w:val="20"/>
          <w:szCs w:val="20"/>
        </w:rPr>
        <w:t xml:space="preserve"> TA drift rate variation} for LEO</w:t>
      </w:r>
      <w:r w:rsidR="00331D28">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case to reduce the </w:t>
      </w:r>
      <w:r>
        <w:rPr>
          <w:rFonts w:ascii="Times New Roman" w:eastAsia="宋体" w:hAnsi="Times New Roman" w:cs="Times New Roman"/>
          <w:sz w:val="20"/>
          <w:szCs w:val="20"/>
        </w:rPr>
        <w:t>implementation complexity</w:t>
      </w:r>
      <w:r>
        <w:rPr>
          <w:rFonts w:ascii="Times New Roman" w:eastAsia="宋体" w:hAnsi="Times New Roman" w:cs="Times New Roman" w:hint="eastAsia"/>
          <w:sz w:val="20"/>
          <w:szCs w:val="20"/>
        </w:rPr>
        <w:t xml:space="preserve"> at UE</w:t>
      </w:r>
      <w:r>
        <w:rPr>
          <w:rFonts w:ascii="Times New Roman" w:eastAsia="宋体" w:hAnsi="Times New Roman" w:cs="Times New Roman"/>
          <w:sz w:val="20"/>
          <w:szCs w:val="20"/>
        </w:rPr>
        <w:t xml:space="preserve"> side</w:t>
      </w:r>
      <w:r>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lastRenderedPageBreak/>
        <w:t>However, in GEO case, the common TA is almost stable so that indication of drift rates are not necessary. Therefore, two options can be considered for common TA parameter indication:</w:t>
      </w:r>
    </w:p>
    <w:p w:rsidR="00EA0F38" w:rsidRDefault="0096751C">
      <w:pPr>
        <w:numPr>
          <w:ilvl w:val="0"/>
          <w:numId w:val="9"/>
        </w:num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Option 1: Only support the combination {common TA, common TA drift rate, common TA drift rate variation}, where the common TA drift rate and common TA drift rate variation can be zero.</w:t>
      </w:r>
    </w:p>
    <w:p w:rsidR="00EA0F38" w:rsidRDefault="0096751C">
      <w:pPr>
        <w:numPr>
          <w:ilvl w:val="0"/>
          <w:numId w:val="9"/>
        </w:numPr>
        <w:adjustRightInd w:val="0"/>
        <w:snapToGrid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2: Support </w:t>
      </w:r>
      <w:r w:rsidR="00A8048C">
        <w:rPr>
          <w:rFonts w:ascii="Times New Roman" w:hAnsi="Times New Roman" w:cs="Times New Roman"/>
          <w:sz w:val="20"/>
          <w:szCs w:val="20"/>
        </w:rPr>
        <w:t xml:space="preserve">following two </w:t>
      </w:r>
      <w:r>
        <w:rPr>
          <w:rFonts w:ascii="Times New Roman" w:hAnsi="Times New Roman" w:cs="Times New Roman"/>
          <w:sz w:val="20"/>
          <w:szCs w:val="20"/>
        </w:rPr>
        <w:t>combinations</w:t>
      </w:r>
      <w:r w:rsidR="00A8048C">
        <w:rPr>
          <w:rFonts w:ascii="Times New Roman" w:hAnsi="Times New Roman" w:cs="Times New Roman" w:hint="eastAsia"/>
          <w:sz w:val="20"/>
          <w:szCs w:val="20"/>
        </w:rPr>
        <w:t>,</w:t>
      </w:r>
      <w:r w:rsidR="00A8048C">
        <w:rPr>
          <w:rFonts w:ascii="Times New Roman" w:hAnsi="Times New Roman" w:cs="Times New Roman"/>
          <w:sz w:val="20"/>
          <w:szCs w:val="20"/>
        </w:rPr>
        <w:t xml:space="preserve"> which can be configured by gNB </w:t>
      </w:r>
      <w:r>
        <w:rPr>
          <w:rFonts w:ascii="Times New Roman" w:hAnsi="Times New Roman" w:cs="Times New Roman"/>
          <w:sz w:val="20"/>
          <w:szCs w:val="20"/>
        </w:rPr>
        <w:t xml:space="preserve">for different scenarios </w:t>
      </w:r>
    </w:p>
    <w:p w:rsidR="00EA0F38" w:rsidRDefault="0096751C">
      <w:pPr>
        <w:numPr>
          <w:ilvl w:val="4"/>
          <w:numId w:val="6"/>
        </w:numPr>
        <w:adjustRightInd w:val="0"/>
        <w:snapToGrid w:val="0"/>
        <w:spacing w:after="0" w:line="240" w:lineRule="auto"/>
        <w:ind w:left="1260"/>
        <w:rPr>
          <w:rFonts w:ascii="Times New Roman" w:hAnsi="Times New Roman" w:cs="Times New Roman"/>
          <w:sz w:val="20"/>
          <w:szCs w:val="20"/>
        </w:rPr>
      </w:pPr>
      <w:r>
        <w:rPr>
          <w:rFonts w:ascii="Times New Roman" w:hAnsi="Times New Roman" w:cs="Times New Roman"/>
          <w:sz w:val="20"/>
          <w:szCs w:val="20"/>
        </w:rPr>
        <w:t>{common TA, common TA drift rate, common TA drift rate variation}</w:t>
      </w:r>
    </w:p>
    <w:p w:rsidR="00EA0F38" w:rsidRDefault="0096751C">
      <w:pPr>
        <w:numPr>
          <w:ilvl w:val="4"/>
          <w:numId w:val="6"/>
        </w:numPr>
        <w:adjustRightInd w:val="0"/>
        <w:snapToGrid w:val="0"/>
        <w:spacing w:after="0" w:line="240" w:lineRule="auto"/>
        <w:ind w:left="1260"/>
        <w:rPr>
          <w:rFonts w:ascii="Times New Roman" w:hAnsi="Times New Roman" w:cs="Times New Roman"/>
          <w:sz w:val="20"/>
          <w:szCs w:val="20"/>
        </w:rPr>
      </w:pPr>
      <w:r>
        <w:rPr>
          <w:rFonts w:ascii="Times New Roman" w:hAnsi="Times New Roman" w:cs="Times New Roman"/>
          <w:sz w:val="20"/>
          <w:szCs w:val="20"/>
        </w:rPr>
        <w:t>{common TA}</w:t>
      </w:r>
    </w:p>
    <w:p w:rsidR="00EA0F38" w:rsidRDefault="0096751C">
      <w:pPr>
        <w:numPr>
          <w:ilvl w:val="3"/>
          <w:numId w:val="0"/>
        </w:numPr>
        <w:adjustRightInd w:val="0"/>
        <w:snapToGrid w:val="0"/>
        <w:spacing w:after="0" w:line="240" w:lineRule="auto"/>
        <w:ind w:leftChars="200" w:left="440"/>
        <w:rPr>
          <w:rFonts w:ascii="Times New Roman" w:hAnsi="Times New Roman" w:cs="Times New Roman"/>
          <w:sz w:val="20"/>
          <w:szCs w:val="20"/>
        </w:rPr>
      </w:pPr>
      <w:r>
        <w:rPr>
          <w:rFonts w:ascii="Times New Roman" w:hAnsi="Times New Roman" w:cs="Times New Roman" w:hint="eastAsia"/>
          <w:sz w:val="20"/>
          <w:szCs w:val="20"/>
        </w:rPr>
        <w:t>Option 1 can provide a unified signaling for all scenarios, which simplifies the signaling design</w:t>
      </w:r>
      <w:r w:rsidR="00136871">
        <w:rPr>
          <w:rFonts w:ascii="Times New Roman" w:hAnsi="Times New Roman" w:cs="Times New Roman"/>
          <w:sz w:val="20"/>
          <w:szCs w:val="20"/>
        </w:rPr>
        <w:t xml:space="preserve"> and UE’s implementation</w:t>
      </w:r>
      <w:r>
        <w:rPr>
          <w:rFonts w:ascii="Times New Roman" w:hAnsi="Times New Roman" w:cs="Times New Roman" w:hint="eastAsia"/>
          <w:sz w:val="20"/>
          <w:szCs w:val="20"/>
        </w:rPr>
        <w:t>.</w:t>
      </w:r>
      <w:r w:rsidR="00A8048C">
        <w:rPr>
          <w:rFonts w:ascii="Times New Roman" w:hAnsi="Times New Roman" w:cs="Times New Roman"/>
          <w:sz w:val="20"/>
          <w:szCs w:val="20"/>
        </w:rPr>
        <w:t xml:space="preserve"> And signaling overhead reduction can be achieved by </w:t>
      </w:r>
      <w:r>
        <w:rPr>
          <w:rFonts w:ascii="Times New Roman" w:hAnsi="Times New Roman" w:cs="Times New Roman" w:hint="eastAsia"/>
          <w:sz w:val="20"/>
          <w:szCs w:val="20"/>
        </w:rPr>
        <w:t>Option 2. However, if option 2 is applied, an additional signaling is required to indicate the satellite type to UE.</w:t>
      </w:r>
    </w:p>
    <w:p w:rsidR="00EA0F38" w:rsidRDefault="0096751C">
      <w:pPr>
        <w:spacing w:beforeLines="50" w:before="120" w:after="0" w:line="240" w:lineRule="auto"/>
        <w:ind w:leftChars="200" w:left="440"/>
        <w:jc w:val="both"/>
        <w:rPr>
          <w:rFonts w:ascii="Times New Roman" w:eastAsia="宋体" w:hAnsi="Times New Roman"/>
          <w:i/>
          <w:sz w:val="20"/>
          <w:szCs w:val="20"/>
        </w:rPr>
      </w:pPr>
      <w:r>
        <w:rPr>
          <w:rFonts w:ascii="Times New Roman" w:eastAsia="宋体" w:hAnsi="Times New Roman"/>
          <w:b/>
          <w:i/>
          <w:sz w:val="20"/>
          <w:szCs w:val="20"/>
        </w:rPr>
        <w:t xml:space="preserve">Proposal </w:t>
      </w:r>
      <w:r>
        <w:rPr>
          <w:rFonts w:ascii="Times New Roman" w:eastAsia="宋体" w:hAnsi="Times New Roman" w:hint="eastAsia"/>
          <w:b/>
          <w:i/>
          <w:sz w:val="20"/>
          <w:szCs w:val="20"/>
        </w:rPr>
        <w:t>1</w:t>
      </w:r>
      <w:r>
        <w:rPr>
          <w:rFonts w:ascii="Times New Roman" w:eastAsia="宋体" w:hAnsi="Times New Roman"/>
          <w:b/>
          <w:i/>
          <w:sz w:val="20"/>
          <w:szCs w:val="20"/>
        </w:rPr>
        <w:t xml:space="preserve">: </w:t>
      </w:r>
      <w:r>
        <w:rPr>
          <w:rFonts w:ascii="Times New Roman" w:eastAsia="宋体" w:hAnsi="Times New Roman"/>
          <w:i/>
          <w:sz w:val="20"/>
          <w:szCs w:val="20"/>
        </w:rPr>
        <w:t xml:space="preserve">Following </w:t>
      </w:r>
      <w:r>
        <w:rPr>
          <w:rFonts w:ascii="Times New Roman" w:eastAsia="宋体" w:hAnsi="Times New Roman" w:hint="eastAsia"/>
          <w:i/>
          <w:sz w:val="20"/>
          <w:szCs w:val="20"/>
        </w:rPr>
        <w:t xml:space="preserve">options can be considered for common TA parameters </w:t>
      </w:r>
      <w:r w:rsidR="0016725B">
        <w:rPr>
          <w:rFonts w:ascii="Times New Roman" w:eastAsia="宋体" w:hAnsi="Times New Roman"/>
          <w:i/>
          <w:sz w:val="20"/>
          <w:szCs w:val="20"/>
        </w:rPr>
        <w:t>indication</w:t>
      </w:r>
      <w:r>
        <w:rPr>
          <w:rFonts w:ascii="Times New Roman" w:eastAsia="宋体" w:hAnsi="Times New Roman"/>
          <w:i/>
          <w:sz w:val="20"/>
          <w:szCs w:val="20"/>
        </w:rPr>
        <w:t>:</w:t>
      </w:r>
    </w:p>
    <w:p w:rsidR="00136871" w:rsidRPr="00066C43" w:rsidRDefault="00136871" w:rsidP="00AE2733">
      <w:pPr>
        <w:numPr>
          <w:ilvl w:val="0"/>
          <w:numId w:val="9"/>
        </w:numPr>
        <w:adjustRightInd w:val="0"/>
        <w:snapToGrid w:val="0"/>
        <w:spacing w:after="0" w:line="240" w:lineRule="auto"/>
        <w:ind w:leftChars="391" w:left="1280"/>
        <w:rPr>
          <w:rFonts w:ascii="Times New Roman" w:hAnsi="Times New Roman" w:cs="Times New Roman"/>
          <w:i/>
          <w:sz w:val="20"/>
          <w:szCs w:val="20"/>
        </w:rPr>
      </w:pPr>
      <w:r w:rsidRPr="00066C43">
        <w:rPr>
          <w:rFonts w:ascii="Times New Roman" w:hAnsi="Times New Roman" w:cs="Times New Roman"/>
          <w:i/>
          <w:sz w:val="20"/>
          <w:szCs w:val="20"/>
        </w:rPr>
        <w:t>Option 1: Only support the combination {common TA, common TA drift rate, common TA drift rate variation}, where the common TA drift rate and common TA drift rate variation can be zero.</w:t>
      </w:r>
    </w:p>
    <w:p w:rsidR="00136871" w:rsidRPr="00066C43" w:rsidRDefault="00136871" w:rsidP="00AE2733">
      <w:pPr>
        <w:numPr>
          <w:ilvl w:val="0"/>
          <w:numId w:val="9"/>
        </w:numPr>
        <w:adjustRightInd w:val="0"/>
        <w:snapToGrid w:val="0"/>
        <w:spacing w:after="0" w:line="240" w:lineRule="auto"/>
        <w:ind w:leftChars="391" w:left="1280"/>
        <w:rPr>
          <w:rFonts w:ascii="Times New Roman" w:hAnsi="Times New Roman" w:cs="Times New Roman"/>
          <w:i/>
          <w:sz w:val="20"/>
          <w:szCs w:val="20"/>
        </w:rPr>
      </w:pPr>
      <w:r w:rsidRPr="00066C43">
        <w:rPr>
          <w:rFonts w:ascii="Times New Roman" w:hAnsi="Times New Roman" w:cs="Times New Roman"/>
          <w:i/>
          <w:sz w:val="20"/>
          <w:szCs w:val="20"/>
        </w:rPr>
        <w:t>Option 2: Support following two combinations</w:t>
      </w:r>
      <w:r w:rsidRPr="00066C43">
        <w:rPr>
          <w:rFonts w:ascii="Times New Roman" w:hAnsi="Times New Roman" w:cs="Times New Roman" w:hint="eastAsia"/>
          <w:i/>
          <w:sz w:val="20"/>
          <w:szCs w:val="20"/>
        </w:rPr>
        <w:t>,</w:t>
      </w:r>
      <w:r w:rsidRPr="00066C43">
        <w:rPr>
          <w:rFonts w:ascii="Times New Roman" w:hAnsi="Times New Roman" w:cs="Times New Roman"/>
          <w:i/>
          <w:sz w:val="20"/>
          <w:szCs w:val="20"/>
        </w:rPr>
        <w:t xml:space="preserve"> which can be configured by gNB for different scenarios </w:t>
      </w:r>
    </w:p>
    <w:p w:rsidR="00136871" w:rsidRPr="00066C43" w:rsidRDefault="00136871" w:rsidP="00AE2733">
      <w:pPr>
        <w:numPr>
          <w:ilvl w:val="4"/>
          <w:numId w:val="6"/>
        </w:numPr>
        <w:adjustRightInd w:val="0"/>
        <w:snapToGrid w:val="0"/>
        <w:spacing w:after="0" w:line="240" w:lineRule="auto"/>
        <w:ind w:leftChars="609" w:left="1700"/>
        <w:rPr>
          <w:rFonts w:ascii="Times New Roman" w:hAnsi="Times New Roman" w:cs="Times New Roman"/>
          <w:i/>
          <w:sz w:val="20"/>
          <w:szCs w:val="20"/>
        </w:rPr>
      </w:pPr>
      <w:r w:rsidRPr="00066C43">
        <w:rPr>
          <w:rFonts w:ascii="Times New Roman" w:hAnsi="Times New Roman" w:cs="Times New Roman"/>
          <w:i/>
          <w:sz w:val="20"/>
          <w:szCs w:val="20"/>
        </w:rPr>
        <w:t>{common TA, common TA drift rate, common TA drift rate variation}</w:t>
      </w:r>
    </w:p>
    <w:p w:rsidR="00136871" w:rsidRPr="00066C43" w:rsidRDefault="00136871" w:rsidP="00AE2733">
      <w:pPr>
        <w:numPr>
          <w:ilvl w:val="4"/>
          <w:numId w:val="6"/>
        </w:numPr>
        <w:adjustRightInd w:val="0"/>
        <w:snapToGrid w:val="0"/>
        <w:spacing w:after="0" w:line="240" w:lineRule="auto"/>
        <w:ind w:leftChars="609" w:left="1700"/>
        <w:rPr>
          <w:rFonts w:ascii="Times New Roman" w:hAnsi="Times New Roman" w:cs="Times New Roman"/>
          <w:i/>
          <w:sz w:val="20"/>
          <w:szCs w:val="20"/>
        </w:rPr>
      </w:pPr>
      <w:r w:rsidRPr="00066C43">
        <w:rPr>
          <w:rFonts w:ascii="Times New Roman" w:hAnsi="Times New Roman" w:cs="Times New Roman"/>
          <w:i/>
          <w:sz w:val="20"/>
          <w:szCs w:val="20"/>
        </w:rPr>
        <w:t>{common TA}</w:t>
      </w:r>
    </w:p>
    <w:p w:rsidR="00EA0F38" w:rsidRDefault="0096751C">
      <w:pPr>
        <w:pStyle w:val="2"/>
        <w:numPr>
          <w:ilvl w:val="1"/>
          <w:numId w:val="8"/>
        </w:numPr>
        <w:rPr>
          <w:rFonts w:ascii="Times New Roman" w:eastAsia="宋体" w:hAnsi="Times New Roman" w:cs="Times New Roman"/>
          <w:sz w:val="20"/>
          <w:szCs w:val="20"/>
        </w:rPr>
      </w:pPr>
      <w:r>
        <w:rPr>
          <w:rFonts w:ascii="Times New Roman" w:eastAsia="宋体" w:hAnsi="Times New Roman" w:cs="Times New Roman" w:hint="eastAsia"/>
          <w:sz w:val="24"/>
          <w:szCs w:val="24"/>
          <w:lang w:val="en-US"/>
        </w:rPr>
        <w:t>Signaling and granularity</w:t>
      </w:r>
      <w:r>
        <w:rPr>
          <w:rFonts w:ascii="Times New Roman" w:eastAsia="宋体" w:hAnsi="Times New Roman" w:cs="Times New Roman"/>
          <w:sz w:val="24"/>
          <w:szCs w:val="24"/>
          <w:lang w:val="en-US"/>
        </w:rPr>
        <w:t xml:space="preserve"> of c</w:t>
      </w:r>
      <w:r>
        <w:rPr>
          <w:rFonts w:ascii="Times New Roman" w:eastAsia="宋体" w:hAnsi="Times New Roman" w:cs="Times New Roman" w:hint="eastAsia"/>
          <w:sz w:val="24"/>
          <w:szCs w:val="24"/>
          <w:lang w:val="en-US"/>
        </w:rPr>
        <w:t xml:space="preserve">ommon </w:t>
      </w:r>
      <w:r>
        <w:rPr>
          <w:rFonts w:ascii="Times New Roman" w:eastAsia="宋体" w:hAnsi="Times New Roman" w:cs="Times New Roman"/>
          <w:sz w:val="24"/>
          <w:szCs w:val="24"/>
          <w:lang w:val="en-US"/>
        </w:rPr>
        <w:t>TA</w:t>
      </w:r>
      <w:r>
        <w:rPr>
          <w:rFonts w:ascii="Times New Roman" w:eastAsia="宋体" w:hAnsi="Times New Roman" w:cs="Times New Roman" w:hint="eastAsia"/>
          <w:sz w:val="24"/>
          <w:szCs w:val="24"/>
          <w:lang w:val="en-US"/>
        </w:rPr>
        <w:t xml:space="preserve"> and common TA drift rate</w:t>
      </w:r>
      <w:r>
        <w:rPr>
          <w:rFonts w:ascii="Times New Roman" w:eastAsia="宋体" w:hAnsi="Times New Roman" w:cs="Times New Roman"/>
          <w:sz w:val="24"/>
          <w:szCs w:val="24"/>
          <w:lang w:val="en-US"/>
        </w:rPr>
        <w:t>s</w:t>
      </w:r>
    </w:p>
    <w:p w:rsidR="00EA0F38" w:rsidRDefault="0096751C">
      <w:pPr>
        <w:pStyle w:val="ad"/>
        <w:spacing w:beforeLines="50" w:before="120" w:afterLines="50" w:after="120" w:line="240" w:lineRule="auto"/>
        <w:ind w:leftChars="200" w:left="440" w:firstLineChars="0" w:firstLine="0"/>
        <w:jc w:val="both"/>
        <w:rPr>
          <w:rFonts w:ascii="Times New Roman" w:hAnsi="Times New Roman"/>
          <w:sz w:val="20"/>
          <w:szCs w:val="20"/>
        </w:rPr>
      </w:pPr>
      <w:r>
        <w:rPr>
          <w:rFonts w:ascii="Times New Roman" w:eastAsia="宋体" w:hAnsi="Times New Roman" w:cs="Times New Roman" w:hint="eastAsia"/>
          <w:sz w:val="20"/>
          <w:szCs w:val="20"/>
        </w:rPr>
        <w:t xml:space="preserve">In RAN1#106b-e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_Ref32552 \n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as </w:t>
      </w:r>
      <w:r>
        <w:rPr>
          <w:rFonts w:ascii="Times New Roman" w:eastAsia="宋体" w:hAnsi="Times New Roman" w:cs="Times New Roman" w:hint="eastAsia"/>
          <w:sz w:val="20"/>
          <w:szCs w:val="20"/>
        </w:rPr>
        <w:t xml:space="preserve">shown </w:t>
      </w:r>
      <w:r>
        <w:rPr>
          <w:rFonts w:ascii="Times New Roman" w:eastAsia="宋体" w:hAnsi="Times New Roman" w:cs="Times New Roman"/>
          <w:sz w:val="20"/>
          <w:szCs w:val="20"/>
        </w:rPr>
        <w:t xml:space="preserve">above, </w:t>
      </w:r>
      <w:r>
        <w:rPr>
          <w:rFonts w:ascii="Times New Roman" w:eastAsia="宋体" w:hAnsi="Times New Roman" w:cs="Times New Roman" w:hint="eastAsia"/>
          <w:sz w:val="20"/>
          <w:szCs w:val="20"/>
        </w:rPr>
        <w:t xml:space="preserve">the granularity of common TA has been agreed </w:t>
      </w:r>
      <w:proofErr w:type="gramStart"/>
      <w:r>
        <w:rPr>
          <w:rFonts w:ascii="Times New Roman" w:eastAsia="宋体" w:hAnsi="Times New Roman" w:cs="Times New Roman" w:hint="eastAsia"/>
          <w:sz w:val="20"/>
          <w:szCs w:val="20"/>
        </w:rPr>
        <w:t xml:space="preserve">as </w:t>
      </w:r>
      <w:proofErr w:type="gramEnd"/>
      <w:r>
        <w:rPr>
          <w:rFonts w:eastAsia="宋体" w:hint="eastAsia"/>
          <w:position w:val="-12"/>
        </w:rPr>
        <w:object w:dxaOrig="919" w:dyaOrig="377">
          <v:shape id="_x0000_i1027" type="#_x0000_t75" style="width:46pt;height:19pt" o:ole="">
            <v:imagedata r:id="rId8" o:title=""/>
          </v:shape>
          <o:OLEObject Type="Embed" ProgID="Equation.3" ShapeID="_x0000_i1027" DrawAspect="Content" ObjectID="_1697655868" r:id="rId9"/>
        </w:object>
      </w:r>
      <w:r>
        <w:rPr>
          <w:rFonts w:ascii="Times New Roman" w:eastAsia="宋体" w:hAnsi="Times New Roman" w:cs="Times New Roman" w:hint="eastAsia"/>
          <w:sz w:val="20"/>
          <w:szCs w:val="20"/>
        </w:rPr>
        <w:t xml:space="preserve">, where </w:t>
      </w:r>
      <w:r>
        <w:rPr>
          <w:rFonts w:ascii="Times New Roman" w:eastAsia="宋体" w:hAnsi="Times New Roman" w:cs="Times New Roman" w:hint="eastAsia"/>
          <w:position w:val="-10"/>
          <w:sz w:val="20"/>
          <w:szCs w:val="20"/>
        </w:rPr>
        <w:object w:dxaOrig="244" w:dyaOrig="255">
          <v:shape id="_x0000_i1028" type="#_x0000_t75" style="width:12pt;height:13pt" o:ole="">
            <v:imagedata r:id="rId10" o:title=""/>
          </v:shape>
          <o:OLEObject Type="Embed" ProgID="Equation.KSEE3" ShapeID="_x0000_i1028" DrawAspect="Content" ObjectID="_1697655869" r:id="rId11"/>
        </w:object>
      </w:r>
      <w:r>
        <w:rPr>
          <w:rFonts w:ascii="Times New Roman" w:eastAsia="宋体" w:hAnsi="Times New Roman" w:cs="Times New Roman" w:hint="eastAsia"/>
          <w:sz w:val="20"/>
          <w:szCs w:val="20"/>
        </w:rPr>
        <w:t xml:space="preserve"> is the highest allowed numerology</w:t>
      </w:r>
      <w:r>
        <w:rPr>
          <w:rFonts w:ascii="Times New Roman" w:hAnsi="Times New Roman" w:hint="eastAsia"/>
          <w:sz w:val="20"/>
          <w:szCs w:val="20"/>
        </w:rPr>
        <w:t xml:space="preserve">. Since common TA drift rates are also agreed to be indicated, their granularity and range should also be specified.   </w:t>
      </w:r>
    </w:p>
    <w:p w:rsidR="00EA0F38" w:rsidRDefault="0096751C">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following evaluations, </w:t>
      </w:r>
      <w:r>
        <w:rPr>
          <w:rFonts w:ascii="Times New Roman" w:eastAsia="宋体" w:hAnsi="Times New Roman" w:cs="Times New Roman" w:hint="eastAsia"/>
          <w:position w:val="-10"/>
          <w:sz w:val="20"/>
          <w:szCs w:val="20"/>
        </w:rPr>
        <w:object w:dxaOrig="576" w:dyaOrig="321">
          <v:shape id="_x0000_i1029" type="#_x0000_t75" style="width:29pt;height:16pt" o:ole="">
            <v:imagedata r:id="rId12" o:title=""/>
          </v:shape>
          <o:OLEObject Type="Embed" ProgID="Equation.KSEE3" ShapeID="_x0000_i1029" DrawAspect="Content" ObjectID="_1697655870" r:id="rId13"/>
        </w:object>
      </w:r>
      <w:r>
        <w:rPr>
          <w:rFonts w:ascii="Times New Roman" w:eastAsia="宋体" w:hAnsi="Times New Roman" w:cs="Times New Roman" w:hint="eastAsia"/>
          <w:sz w:val="20"/>
          <w:szCs w:val="20"/>
        </w:rPr>
        <w:t xml:space="preserve"> is assumed since the minimum timing error limit </w:t>
      </w:r>
      <w:proofErr w:type="spellStart"/>
      <w:r>
        <w:rPr>
          <w:rFonts w:ascii="Times New Roman" w:eastAsia="宋体" w:hAnsi="Times New Roman" w:cs="Times New Roman" w:hint="eastAsia"/>
          <w:sz w:val="20"/>
          <w:szCs w:val="20"/>
        </w:rPr>
        <w:t>Te</w:t>
      </w:r>
      <w:proofErr w:type="spellEnd"/>
      <w:r>
        <w:rPr>
          <w:rFonts w:ascii="Times New Roman" w:eastAsia="宋体" w:hAnsi="Times New Roman" w:cs="Times New Roman" w:hint="eastAsia"/>
          <w:sz w:val="20"/>
          <w:szCs w:val="20"/>
        </w:rPr>
        <w:t xml:space="preserve"> = 0.098 us is adopted in this case. By assuming that the granularity of common TA is </w:t>
      </w:r>
      <w:r>
        <w:rPr>
          <w:rFonts w:eastAsia="宋体" w:hint="eastAsia"/>
          <w:position w:val="-12"/>
        </w:rPr>
        <w:object w:dxaOrig="919" w:dyaOrig="377">
          <v:shape id="_x0000_i1030" type="#_x0000_t75" style="width:46pt;height:19pt" o:ole="">
            <v:imagedata r:id="rId8" o:title=""/>
          </v:shape>
          <o:OLEObject Type="Embed" ProgID="Equation.3" ShapeID="_x0000_i1030" DrawAspect="Content" ObjectID="_1697655871" r:id="rId14"/>
        </w:object>
      </w:r>
      <w:r>
        <w:rPr>
          <w:rFonts w:ascii="Times New Roman" w:eastAsia="宋体" w:hAnsi="Times New Roman" w:cs="Times New Roman" w:hint="eastAsia"/>
          <w:sz w:val="20"/>
          <w:szCs w:val="20"/>
        </w:rPr>
        <w:t xml:space="preserve"> and max quantization errors contributed by different order drift rates are in same </w:t>
      </w:r>
      <w:r>
        <w:rPr>
          <w:rFonts w:ascii="Times New Roman" w:eastAsia="宋体" w:hAnsi="Times New Roman" w:cs="Times New Roman"/>
          <w:sz w:val="20"/>
          <w:szCs w:val="20"/>
        </w:rPr>
        <w:t>level</w:t>
      </w:r>
      <w:r>
        <w:rPr>
          <w:rFonts w:ascii="Times New Roman" w:eastAsia="宋体" w:hAnsi="Times New Roman" w:cs="Times New Roman" w:hint="eastAsia"/>
          <w:sz w:val="20"/>
          <w:szCs w:val="20"/>
        </w:rPr>
        <w:t xml:space="preserve">, the maximum residual error of common TA after quantization are evaluated as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_Ref29111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Table 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From the evaluation results, it can be observed that 12 bits for 1</w:t>
      </w:r>
      <w:r>
        <w:rPr>
          <w:rFonts w:ascii="Times New Roman" w:eastAsia="宋体" w:hAnsi="Times New Roman" w:cs="Times New Roman" w:hint="eastAsia"/>
          <w:sz w:val="20"/>
          <w:szCs w:val="20"/>
          <w:vertAlign w:val="superscript"/>
        </w:rPr>
        <w:t>st</w:t>
      </w:r>
      <w:r>
        <w:rPr>
          <w:rFonts w:ascii="Times New Roman" w:eastAsia="宋体" w:hAnsi="Times New Roman" w:cs="Times New Roman" w:hint="eastAsia"/>
          <w:sz w:val="20"/>
          <w:szCs w:val="20"/>
        </w:rPr>
        <w:t xml:space="preserve"> order and 9 bits for second order drift rates quantization can ensure the maximum residual error of common TA is below minimum </w:t>
      </w:r>
      <w:proofErr w:type="spellStart"/>
      <w:r>
        <w:rPr>
          <w:rFonts w:ascii="Times New Roman" w:eastAsia="宋体" w:hAnsi="Times New Roman" w:cs="Times New Roman" w:hint="eastAsia"/>
          <w:sz w:val="20"/>
          <w:szCs w:val="20"/>
        </w:rPr>
        <w:t>Te</w:t>
      </w:r>
      <w:proofErr w:type="spellEnd"/>
      <w:r>
        <w:rPr>
          <w:rFonts w:ascii="Times New Roman" w:eastAsia="宋体" w:hAnsi="Times New Roman" w:cs="Times New Roman" w:hint="eastAsia"/>
          <w:sz w:val="20"/>
          <w:szCs w:val="20"/>
        </w:rPr>
        <w:t xml:space="preserve"> when indication period is as along as 10 s.</w:t>
      </w:r>
    </w:p>
    <w:p w:rsidR="00EA0F38" w:rsidRDefault="0096751C">
      <w:pPr>
        <w:pStyle w:val="a3"/>
        <w:spacing w:beforeLines="50" w:before="120" w:afterLines="50"/>
        <w:ind w:leftChars="200" w:left="440"/>
      </w:pPr>
      <w:bookmarkStart w:id="6" w:name="_Ref29111"/>
      <w:r>
        <w:rPr>
          <w:b w:val="0"/>
        </w:rPr>
        <w:t xml:space="preserve">Table </w:t>
      </w:r>
      <w:r>
        <w:rPr>
          <w:b w:val="0"/>
        </w:rPr>
        <w:fldChar w:fldCharType="begin"/>
      </w:r>
      <w:r>
        <w:rPr>
          <w:b w:val="0"/>
        </w:rPr>
        <w:instrText xml:space="preserve"> SEQ Table \* ARABIC </w:instrText>
      </w:r>
      <w:r>
        <w:rPr>
          <w:b w:val="0"/>
        </w:rPr>
        <w:fldChar w:fldCharType="separate"/>
      </w:r>
      <w:r>
        <w:rPr>
          <w:b w:val="0"/>
        </w:rPr>
        <w:t>2</w:t>
      </w:r>
      <w:r>
        <w:rPr>
          <w:b w:val="0"/>
        </w:rPr>
        <w:fldChar w:fldCharType="end"/>
      </w:r>
      <w:bookmarkEnd w:id="6"/>
      <w:r>
        <w:rPr>
          <w:rFonts w:hint="eastAsia"/>
          <w:b w:val="0"/>
          <w:lang w:val="en-US"/>
        </w:rPr>
        <w:t xml:space="preserve"> Maximum </w:t>
      </w:r>
      <w:r>
        <w:rPr>
          <w:b w:val="0"/>
          <w:lang w:val="en-US"/>
        </w:rPr>
        <w:t>approximation error for the common TA with assumed indication on</w:t>
      </w:r>
      <w:r>
        <w:rPr>
          <w:rFonts w:hint="eastAsia"/>
          <w:b w:val="0"/>
          <w:lang w:val="en-US"/>
        </w:rPr>
        <w:t xml:space="preserve"> first and second order drift rates</w:t>
      </w:r>
    </w:p>
    <w:tbl>
      <w:tblPr>
        <w:tblStyle w:val="aa"/>
        <w:tblW w:w="9572" w:type="dxa"/>
        <w:jc w:val="center"/>
        <w:tblLayout w:type="fixed"/>
        <w:tblLook w:val="04A0" w:firstRow="1" w:lastRow="0" w:firstColumn="1" w:lastColumn="0" w:noHBand="0" w:noVBand="1"/>
      </w:tblPr>
      <w:tblGrid>
        <w:gridCol w:w="1598"/>
        <w:gridCol w:w="1089"/>
        <w:gridCol w:w="1147"/>
        <w:gridCol w:w="1147"/>
        <w:gridCol w:w="1147"/>
        <w:gridCol w:w="1147"/>
        <w:gridCol w:w="1147"/>
        <w:gridCol w:w="1150"/>
      </w:tblGrid>
      <w:tr w:rsidR="00EA0F38">
        <w:trPr>
          <w:jc w:val="center"/>
        </w:trPr>
        <w:tc>
          <w:tcPr>
            <w:tcW w:w="2687" w:type="dxa"/>
            <w:gridSpan w:val="2"/>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Indication period</w:t>
            </w:r>
          </w:p>
        </w:tc>
        <w:tc>
          <w:tcPr>
            <w:tcW w:w="114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 s</w:t>
            </w:r>
          </w:p>
        </w:tc>
        <w:tc>
          <w:tcPr>
            <w:tcW w:w="114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5 s</w:t>
            </w:r>
          </w:p>
        </w:tc>
        <w:tc>
          <w:tcPr>
            <w:tcW w:w="114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10 s</w:t>
            </w:r>
          </w:p>
        </w:tc>
        <w:tc>
          <w:tcPr>
            <w:tcW w:w="114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15 s</w:t>
            </w:r>
          </w:p>
        </w:tc>
        <w:tc>
          <w:tcPr>
            <w:tcW w:w="114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20 s</w:t>
            </w:r>
          </w:p>
        </w:tc>
        <w:tc>
          <w:tcPr>
            <w:tcW w:w="1150"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30 s</w:t>
            </w:r>
          </w:p>
        </w:tc>
      </w:tr>
      <w:tr w:rsidR="00EA0F38">
        <w:trPr>
          <w:jc w:val="center"/>
        </w:trPr>
        <w:tc>
          <w:tcPr>
            <w:tcW w:w="2687" w:type="dxa"/>
            <w:gridSpan w:val="2"/>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No quantization</w:t>
            </w:r>
          </w:p>
        </w:tc>
        <w:tc>
          <w:tcPr>
            <w:tcW w:w="114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0.0008 us</w:t>
            </w:r>
          </w:p>
        </w:tc>
        <w:tc>
          <w:tcPr>
            <w:tcW w:w="114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0.0039 us</w:t>
            </w:r>
          </w:p>
        </w:tc>
        <w:tc>
          <w:tcPr>
            <w:tcW w:w="114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0.0312 us</w:t>
            </w:r>
          </w:p>
        </w:tc>
        <w:tc>
          <w:tcPr>
            <w:tcW w:w="114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0.1047 us</w:t>
            </w:r>
          </w:p>
        </w:tc>
        <w:tc>
          <w:tcPr>
            <w:tcW w:w="114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0.2429 us</w:t>
            </w:r>
          </w:p>
        </w:tc>
        <w:tc>
          <w:tcPr>
            <w:tcW w:w="1150"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0.8338 us</w:t>
            </w:r>
          </w:p>
        </w:tc>
      </w:tr>
      <w:tr w:rsidR="00EA0F38">
        <w:trPr>
          <w:jc w:val="center"/>
        </w:trPr>
        <w:tc>
          <w:tcPr>
            <w:tcW w:w="1598" w:type="dxa"/>
            <w:vMerge w:val="restart"/>
            <w:vAlign w:val="center"/>
          </w:tcPr>
          <w:p w:rsidR="00EA0F38" w:rsidRDefault="0096751C">
            <w:pPr>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Quantization</w:t>
            </w:r>
          </w:p>
          <w:p w:rsidR="00EA0F38" w:rsidRDefault="0096751C">
            <w:pPr>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(Granularity of common TA is fixed as </w:t>
            </w:r>
            <w:r>
              <w:rPr>
                <w:rFonts w:eastAsia="宋体" w:hint="eastAsia"/>
                <w:position w:val="-12"/>
              </w:rPr>
              <w:object w:dxaOrig="919" w:dyaOrig="377">
                <v:shape id="_x0000_i1031" type="#_x0000_t75" style="width:46pt;height:19pt" o:ole="">
                  <v:imagedata r:id="rId8" o:title=""/>
                </v:shape>
                <o:OLEObject Type="Embed" ProgID="Equation.3" ShapeID="_x0000_i1031" DrawAspect="Content" ObjectID="_1697655872" r:id="rId15"/>
              </w:object>
            </w:r>
            <w:r>
              <w:rPr>
                <w:rFonts w:ascii="Times New Roman" w:eastAsia="宋体" w:hAnsi="Times New Roman" w:cs="Times New Roman" w:hint="eastAsia"/>
                <w:sz w:val="20"/>
                <w:szCs w:val="20"/>
              </w:rPr>
              <w:t xml:space="preserve"> </w:t>
            </w:r>
            <w:proofErr w:type="spellStart"/>
            <w:r>
              <w:rPr>
                <w:rFonts w:ascii="Times New Roman" w:eastAsia="宋体" w:hAnsi="Times New Roman" w:cs="Times New Roman" w:hint="eastAsia"/>
                <w:sz w:val="20"/>
                <w:szCs w:val="20"/>
              </w:rPr>
              <w:t>and</w:t>
            </w:r>
            <w:proofErr w:type="spellEnd"/>
            <w:r>
              <w:rPr>
                <w:rFonts w:ascii="Times New Roman" w:eastAsia="宋体" w:hAnsi="Times New Roman" w:cs="Times New Roman" w:hint="eastAsia"/>
                <w:sz w:val="20"/>
                <w:szCs w:val="20"/>
              </w:rPr>
              <w:t xml:space="preserve"> </w:t>
            </w:r>
            <w:r>
              <w:rPr>
                <w:rFonts w:ascii="Times New Roman" w:eastAsia="宋体" w:hAnsi="Times New Roman" w:cs="Times New Roman" w:hint="eastAsia"/>
                <w:position w:val="-10"/>
                <w:sz w:val="20"/>
                <w:szCs w:val="20"/>
              </w:rPr>
              <w:object w:dxaOrig="576" w:dyaOrig="321">
                <v:shape id="_x0000_i1032" type="#_x0000_t75" style="width:29pt;height:16pt" o:ole="">
                  <v:imagedata r:id="rId12" o:title=""/>
                </v:shape>
                <o:OLEObject Type="Embed" ProgID="Equation.KSEE3" ShapeID="_x0000_i1032" DrawAspect="Content" ObjectID="_1697655873" r:id="rId16"/>
              </w:object>
            </w:r>
            <w:r>
              <w:rPr>
                <w:rFonts w:ascii="Times New Roman" w:eastAsia="宋体" w:hAnsi="Times New Roman" w:cs="Times New Roman" w:hint="eastAsia"/>
                <w:sz w:val="20"/>
                <w:szCs w:val="20"/>
              </w:rPr>
              <w:t>)</w:t>
            </w:r>
          </w:p>
        </w:tc>
        <w:tc>
          <w:tcPr>
            <w:tcW w:w="1089"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w:t>
            </w:r>
            <w:r>
              <w:rPr>
                <w:rFonts w:ascii="Times New Roman" w:eastAsia="宋体" w:hAnsi="Times New Roman" w:cs="Times New Roman" w:hint="eastAsia"/>
                <w:sz w:val="20"/>
                <w:szCs w:val="20"/>
                <w:vertAlign w:val="superscript"/>
              </w:rPr>
              <w:t>st</w:t>
            </w:r>
            <w:r>
              <w:rPr>
                <w:rFonts w:ascii="Times New Roman" w:eastAsia="宋体" w:hAnsi="Times New Roman" w:cs="Times New Roman" w:hint="eastAsia"/>
                <w:sz w:val="20"/>
                <w:szCs w:val="20"/>
              </w:rPr>
              <w:t xml:space="preserve"> order: 11 bits </w:t>
            </w:r>
          </w:p>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vertAlign w:val="superscript"/>
              </w:rPr>
              <w:t>nd</w:t>
            </w:r>
            <w:r>
              <w:rPr>
                <w:rFonts w:ascii="Times New Roman" w:eastAsia="宋体" w:hAnsi="Times New Roman" w:cs="Times New Roman" w:hint="eastAsia"/>
                <w:sz w:val="20"/>
                <w:szCs w:val="20"/>
              </w:rPr>
              <w:t xml:space="preserve"> order: 8 bits  </w:t>
            </w:r>
          </w:p>
        </w:tc>
        <w:tc>
          <w:tcPr>
            <w:tcW w:w="114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0.0376 us</w:t>
            </w:r>
          </w:p>
        </w:tc>
        <w:tc>
          <w:tcPr>
            <w:tcW w:w="114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0.0667 us</w:t>
            </w:r>
          </w:p>
        </w:tc>
        <w:tc>
          <w:tcPr>
            <w:tcW w:w="114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0.1495 us</w:t>
            </w:r>
          </w:p>
        </w:tc>
        <w:tc>
          <w:tcPr>
            <w:tcW w:w="114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0.3414 us</w:t>
            </w:r>
          </w:p>
        </w:tc>
        <w:tc>
          <w:tcPr>
            <w:tcW w:w="114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0.4453 us</w:t>
            </w:r>
          </w:p>
        </w:tc>
        <w:tc>
          <w:tcPr>
            <w:tcW w:w="1150"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1.1819 us</w:t>
            </w:r>
          </w:p>
        </w:tc>
      </w:tr>
      <w:tr w:rsidR="00EA0F38">
        <w:trPr>
          <w:jc w:val="center"/>
        </w:trPr>
        <w:tc>
          <w:tcPr>
            <w:tcW w:w="1598" w:type="dxa"/>
            <w:vMerge/>
            <w:vAlign w:val="center"/>
          </w:tcPr>
          <w:p w:rsidR="00EA0F38" w:rsidRDefault="00EA0F38">
            <w:pPr>
              <w:jc w:val="center"/>
              <w:rPr>
                <w:rFonts w:ascii="Times New Roman" w:eastAsia="宋体" w:hAnsi="Times New Roman" w:cs="Times New Roman"/>
                <w:sz w:val="20"/>
                <w:szCs w:val="20"/>
              </w:rPr>
            </w:pPr>
          </w:p>
        </w:tc>
        <w:tc>
          <w:tcPr>
            <w:tcW w:w="1089"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w:t>
            </w:r>
            <w:r>
              <w:rPr>
                <w:rFonts w:ascii="Times New Roman" w:eastAsia="宋体" w:hAnsi="Times New Roman" w:cs="Times New Roman" w:hint="eastAsia"/>
                <w:sz w:val="20"/>
                <w:szCs w:val="20"/>
                <w:vertAlign w:val="superscript"/>
              </w:rPr>
              <w:t>st</w:t>
            </w:r>
            <w:r>
              <w:rPr>
                <w:rFonts w:ascii="Times New Roman" w:eastAsia="宋体" w:hAnsi="Times New Roman" w:cs="Times New Roman" w:hint="eastAsia"/>
                <w:sz w:val="20"/>
                <w:szCs w:val="20"/>
              </w:rPr>
              <w:t xml:space="preserve"> order: 12 bits </w:t>
            </w:r>
          </w:p>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vertAlign w:val="superscript"/>
              </w:rPr>
              <w:t>nd</w:t>
            </w:r>
            <w:r>
              <w:rPr>
                <w:rFonts w:ascii="Times New Roman" w:eastAsia="宋体" w:hAnsi="Times New Roman" w:cs="Times New Roman" w:hint="eastAsia"/>
                <w:sz w:val="20"/>
                <w:szCs w:val="20"/>
              </w:rPr>
              <w:t xml:space="preserve"> order: 9 bits  </w:t>
            </w:r>
          </w:p>
        </w:tc>
        <w:tc>
          <w:tcPr>
            <w:tcW w:w="114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0.0178 us</w:t>
            </w:r>
          </w:p>
        </w:tc>
        <w:tc>
          <w:tcPr>
            <w:tcW w:w="114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0.0362 us</w:t>
            </w:r>
          </w:p>
        </w:tc>
        <w:tc>
          <w:tcPr>
            <w:tcW w:w="114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0.0885 us</w:t>
            </w:r>
          </w:p>
        </w:tc>
        <w:tc>
          <w:tcPr>
            <w:tcW w:w="114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0.1701 us</w:t>
            </w:r>
          </w:p>
        </w:tc>
        <w:tc>
          <w:tcPr>
            <w:tcW w:w="114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0.4105 us</w:t>
            </w:r>
          </w:p>
        </w:tc>
        <w:tc>
          <w:tcPr>
            <w:tcW w:w="1150"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0.8511 us</w:t>
            </w:r>
          </w:p>
        </w:tc>
      </w:tr>
      <w:tr w:rsidR="00EA0F38">
        <w:trPr>
          <w:jc w:val="center"/>
        </w:trPr>
        <w:tc>
          <w:tcPr>
            <w:tcW w:w="1598" w:type="dxa"/>
            <w:vMerge/>
            <w:vAlign w:val="center"/>
          </w:tcPr>
          <w:p w:rsidR="00EA0F38" w:rsidRDefault="00EA0F38">
            <w:pPr>
              <w:jc w:val="center"/>
              <w:rPr>
                <w:rFonts w:ascii="Times New Roman" w:eastAsia="宋体" w:hAnsi="Times New Roman" w:cs="Times New Roman"/>
                <w:sz w:val="20"/>
                <w:szCs w:val="20"/>
              </w:rPr>
            </w:pPr>
          </w:p>
        </w:tc>
        <w:tc>
          <w:tcPr>
            <w:tcW w:w="1089"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w:t>
            </w:r>
            <w:r>
              <w:rPr>
                <w:rFonts w:ascii="Times New Roman" w:eastAsia="宋体" w:hAnsi="Times New Roman" w:cs="Times New Roman" w:hint="eastAsia"/>
                <w:sz w:val="20"/>
                <w:szCs w:val="20"/>
                <w:vertAlign w:val="superscript"/>
              </w:rPr>
              <w:t>st</w:t>
            </w:r>
            <w:r>
              <w:rPr>
                <w:rFonts w:ascii="Times New Roman" w:eastAsia="宋体" w:hAnsi="Times New Roman" w:cs="Times New Roman" w:hint="eastAsia"/>
                <w:sz w:val="20"/>
                <w:szCs w:val="20"/>
              </w:rPr>
              <w:t xml:space="preserve"> order: 13 bits </w:t>
            </w:r>
          </w:p>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2</w:t>
            </w:r>
            <w:r>
              <w:rPr>
                <w:rFonts w:ascii="Times New Roman" w:eastAsia="宋体" w:hAnsi="Times New Roman" w:cs="Times New Roman" w:hint="eastAsia"/>
                <w:sz w:val="20"/>
                <w:szCs w:val="20"/>
                <w:vertAlign w:val="superscript"/>
              </w:rPr>
              <w:t>nd</w:t>
            </w:r>
            <w:r>
              <w:rPr>
                <w:rFonts w:ascii="Times New Roman" w:eastAsia="宋体" w:hAnsi="Times New Roman" w:cs="Times New Roman" w:hint="eastAsia"/>
                <w:sz w:val="20"/>
                <w:szCs w:val="20"/>
              </w:rPr>
              <w:t xml:space="preserve"> order: 10 bits </w:t>
            </w:r>
          </w:p>
        </w:tc>
        <w:tc>
          <w:tcPr>
            <w:tcW w:w="114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0.0103 us</w:t>
            </w:r>
          </w:p>
        </w:tc>
        <w:tc>
          <w:tcPr>
            <w:tcW w:w="114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0.0163 us</w:t>
            </w:r>
          </w:p>
        </w:tc>
        <w:tc>
          <w:tcPr>
            <w:tcW w:w="114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0.0658 us</w:t>
            </w:r>
          </w:p>
        </w:tc>
        <w:tc>
          <w:tcPr>
            <w:tcW w:w="114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0.1310 us</w:t>
            </w:r>
          </w:p>
        </w:tc>
        <w:tc>
          <w:tcPr>
            <w:tcW w:w="1147"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0.2802 us</w:t>
            </w:r>
          </w:p>
        </w:tc>
        <w:tc>
          <w:tcPr>
            <w:tcW w:w="1150"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0.8877 us</w:t>
            </w:r>
          </w:p>
        </w:tc>
      </w:tr>
    </w:tbl>
    <w:p w:rsidR="00EA0F38" w:rsidRDefault="0096751C">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With the consideration that minimum elevation angle is 10 degree, the required bit number for common TA parameters are summarized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_Ref16918 \h </w:instrText>
      </w:r>
      <w:r>
        <w:rPr>
          <w:rFonts w:ascii="Times New Roman" w:eastAsia="宋体" w:hAnsi="Times New Roman" w:cs="Times New Roman"/>
          <w:sz w:val="20"/>
          <w:szCs w:val="20"/>
        </w:rPr>
        <w:instrText xml:space="preserve"> \* MERGEFORMAT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sz w:val="20"/>
          <w:szCs w:val="20"/>
        </w:rPr>
        <w:t>Table 3</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As evaluated above, the required bit number for 1</w:t>
      </w:r>
      <w:r>
        <w:rPr>
          <w:rFonts w:ascii="Times New Roman" w:eastAsia="宋体" w:hAnsi="Times New Roman" w:cs="Times New Roman" w:hint="eastAsia"/>
          <w:sz w:val="20"/>
          <w:szCs w:val="20"/>
          <w:vertAlign w:val="superscript"/>
        </w:rPr>
        <w:t>st</w:t>
      </w:r>
      <w:r>
        <w:rPr>
          <w:rFonts w:ascii="Times New Roman" w:eastAsia="宋体" w:hAnsi="Times New Roman" w:cs="Times New Roman" w:hint="eastAsia"/>
          <w:sz w:val="20"/>
          <w:szCs w:val="20"/>
        </w:rPr>
        <w:t xml:space="preserve"> order and 2</w:t>
      </w:r>
      <w:r>
        <w:rPr>
          <w:rFonts w:ascii="Times New Roman" w:eastAsia="宋体" w:hAnsi="Times New Roman" w:cs="Times New Roman" w:hint="eastAsia"/>
          <w:sz w:val="20"/>
          <w:szCs w:val="20"/>
          <w:vertAlign w:val="superscript"/>
        </w:rPr>
        <w:t>nd</w:t>
      </w:r>
      <w:r>
        <w:rPr>
          <w:rFonts w:ascii="Times New Roman" w:eastAsia="宋体" w:hAnsi="Times New Roman" w:cs="Times New Roman" w:hint="eastAsia"/>
          <w:sz w:val="20"/>
          <w:szCs w:val="20"/>
        </w:rPr>
        <w:t xml:space="preserve"> order drift rates are at least 12 and 9, respectively, to ensure validity duration is longer than 10 s. In this case, the granularity for 1</w:t>
      </w:r>
      <w:r>
        <w:rPr>
          <w:rFonts w:ascii="Times New Roman" w:eastAsia="宋体" w:hAnsi="Times New Roman" w:cs="Times New Roman" w:hint="eastAsia"/>
          <w:sz w:val="20"/>
          <w:szCs w:val="20"/>
          <w:vertAlign w:val="superscript"/>
        </w:rPr>
        <w:t>st</w:t>
      </w:r>
      <w:r>
        <w:rPr>
          <w:rFonts w:ascii="Times New Roman" w:eastAsia="宋体" w:hAnsi="Times New Roman" w:cs="Times New Roman" w:hint="eastAsia"/>
          <w:sz w:val="20"/>
          <w:szCs w:val="20"/>
        </w:rPr>
        <w:t xml:space="preserve"> order drift rate is 2.78e-3 us/s and the granularity for 2</w:t>
      </w:r>
      <w:r>
        <w:rPr>
          <w:rFonts w:ascii="Times New Roman" w:eastAsia="宋体" w:hAnsi="Times New Roman" w:cs="Times New Roman" w:hint="eastAsia"/>
          <w:sz w:val="20"/>
          <w:szCs w:val="20"/>
          <w:vertAlign w:val="superscript"/>
        </w:rPr>
        <w:t>nd</w:t>
      </w:r>
      <w:r>
        <w:rPr>
          <w:rFonts w:ascii="Times New Roman" w:eastAsia="宋体" w:hAnsi="Times New Roman" w:cs="Times New Roman" w:hint="eastAsia"/>
          <w:sz w:val="20"/>
          <w:szCs w:val="20"/>
        </w:rPr>
        <w:t xml:space="preserve"> order drift rate is 2.84e-4 us/s</w:t>
      </w:r>
      <w:r>
        <w:rPr>
          <w:rFonts w:ascii="Times New Roman" w:eastAsia="宋体" w:hAnsi="Times New Roman" w:cs="Times New Roman" w:hint="eastAsia"/>
          <w:sz w:val="20"/>
          <w:szCs w:val="20"/>
          <w:vertAlign w:val="superscript"/>
        </w:rPr>
        <w:t>2</w:t>
      </w:r>
      <w:r>
        <w:rPr>
          <w:rFonts w:ascii="Times New Roman" w:eastAsia="宋体" w:hAnsi="Times New Roman" w:cs="Times New Roman" w:hint="eastAsia"/>
          <w:sz w:val="20"/>
          <w:szCs w:val="20"/>
        </w:rPr>
        <w:t>.</w:t>
      </w:r>
    </w:p>
    <w:p w:rsidR="00EA0F38" w:rsidRDefault="0096751C">
      <w:pPr>
        <w:pStyle w:val="a3"/>
        <w:spacing w:beforeLines="50" w:before="120" w:afterLines="50"/>
        <w:ind w:leftChars="200" w:left="440"/>
        <w:rPr>
          <w:b w:val="0"/>
          <w:lang w:val="en-US"/>
        </w:rPr>
      </w:pPr>
      <w:bookmarkStart w:id="7" w:name="_Ref16918"/>
      <w:r>
        <w:rPr>
          <w:b w:val="0"/>
        </w:rPr>
        <w:t xml:space="preserve">Table </w:t>
      </w:r>
      <w:r>
        <w:rPr>
          <w:b w:val="0"/>
        </w:rPr>
        <w:fldChar w:fldCharType="begin"/>
      </w:r>
      <w:r>
        <w:rPr>
          <w:b w:val="0"/>
        </w:rPr>
        <w:instrText xml:space="preserve"> SEQ Table \* ARABIC </w:instrText>
      </w:r>
      <w:r>
        <w:rPr>
          <w:b w:val="0"/>
        </w:rPr>
        <w:fldChar w:fldCharType="separate"/>
      </w:r>
      <w:r>
        <w:rPr>
          <w:b w:val="0"/>
        </w:rPr>
        <w:t>3</w:t>
      </w:r>
      <w:r>
        <w:rPr>
          <w:b w:val="0"/>
        </w:rPr>
        <w:fldChar w:fldCharType="end"/>
      </w:r>
      <w:bookmarkEnd w:id="7"/>
      <w:r>
        <w:rPr>
          <w:rFonts w:hint="eastAsia"/>
          <w:b w:val="0"/>
          <w:lang w:val="en-US"/>
        </w:rPr>
        <w:t xml:space="preserve"> Required bit number for common TA and common TA drift rate expression</w:t>
      </w:r>
    </w:p>
    <w:tbl>
      <w:tblPr>
        <w:tblStyle w:val="aa"/>
        <w:tblW w:w="0" w:type="auto"/>
        <w:jc w:val="center"/>
        <w:tblLook w:val="04A0" w:firstRow="1" w:lastRow="0" w:firstColumn="1" w:lastColumn="0" w:noHBand="0" w:noVBand="1"/>
      </w:tblPr>
      <w:tblGrid>
        <w:gridCol w:w="1419"/>
        <w:gridCol w:w="1419"/>
        <w:gridCol w:w="1549"/>
        <w:gridCol w:w="1549"/>
        <w:gridCol w:w="1551"/>
      </w:tblGrid>
      <w:tr w:rsidR="00EA0F38">
        <w:trPr>
          <w:trHeight w:val="222"/>
          <w:jc w:val="center"/>
        </w:trPr>
        <w:tc>
          <w:tcPr>
            <w:tcW w:w="2838" w:type="dxa"/>
            <w:gridSpan w:val="2"/>
          </w:tcPr>
          <w:p w:rsidR="00EA0F38" w:rsidRDefault="00EA0F38">
            <w:pPr>
              <w:rPr>
                <w:rFonts w:ascii="Times New Roman" w:eastAsia="宋体" w:hAnsi="Times New Roman" w:cs="Times New Roman"/>
                <w:sz w:val="20"/>
                <w:szCs w:val="20"/>
              </w:rPr>
            </w:pPr>
          </w:p>
        </w:tc>
        <w:tc>
          <w:tcPr>
            <w:tcW w:w="1549" w:type="dxa"/>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LEO-600</w:t>
            </w:r>
          </w:p>
        </w:tc>
        <w:tc>
          <w:tcPr>
            <w:tcW w:w="1549" w:type="dxa"/>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LEO-1200</w:t>
            </w:r>
          </w:p>
        </w:tc>
        <w:tc>
          <w:tcPr>
            <w:tcW w:w="1551" w:type="dxa"/>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GEO</w:t>
            </w:r>
          </w:p>
        </w:tc>
      </w:tr>
      <w:tr w:rsidR="00EA0F38">
        <w:trPr>
          <w:trHeight w:val="228"/>
          <w:jc w:val="center"/>
        </w:trPr>
        <w:tc>
          <w:tcPr>
            <w:tcW w:w="1419" w:type="dxa"/>
            <w:vMerge w:val="restart"/>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Common TA</w:t>
            </w:r>
          </w:p>
        </w:tc>
        <w:tc>
          <w:tcPr>
            <w:tcW w:w="1419" w:type="dxa"/>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Upper bound</w:t>
            </w:r>
          </w:p>
        </w:tc>
        <w:tc>
          <w:tcPr>
            <w:tcW w:w="1549" w:type="dxa"/>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12.88 ms</w:t>
            </w:r>
          </w:p>
        </w:tc>
        <w:tc>
          <w:tcPr>
            <w:tcW w:w="1549" w:type="dxa"/>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20.88 ms</w:t>
            </w:r>
          </w:p>
        </w:tc>
        <w:tc>
          <w:tcPr>
            <w:tcW w:w="1551" w:type="dxa"/>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270.54 ms</w:t>
            </w:r>
          </w:p>
        </w:tc>
      </w:tr>
      <w:tr w:rsidR="00EA0F38">
        <w:trPr>
          <w:trHeight w:val="228"/>
          <w:jc w:val="center"/>
        </w:trPr>
        <w:tc>
          <w:tcPr>
            <w:tcW w:w="1419" w:type="dxa"/>
            <w:vMerge/>
          </w:tcPr>
          <w:p w:rsidR="00EA0F38" w:rsidRDefault="00EA0F38">
            <w:pPr>
              <w:jc w:val="center"/>
              <w:rPr>
                <w:rFonts w:ascii="Times New Roman" w:eastAsia="宋体" w:hAnsi="Times New Roman" w:cs="Times New Roman"/>
                <w:sz w:val="20"/>
                <w:szCs w:val="20"/>
              </w:rPr>
            </w:pPr>
          </w:p>
        </w:tc>
        <w:tc>
          <w:tcPr>
            <w:tcW w:w="1419" w:type="dxa"/>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Granularity</w:t>
            </w:r>
          </w:p>
        </w:tc>
        <w:tc>
          <w:tcPr>
            <w:tcW w:w="1549" w:type="dxa"/>
          </w:tcPr>
          <w:p w:rsidR="00EA0F38" w:rsidRDefault="0096751C">
            <w:pPr>
              <w:jc w:val="center"/>
              <w:rPr>
                <w:rFonts w:ascii="Times New Roman" w:eastAsia="宋体" w:hAnsi="Times New Roman" w:cs="Times New Roman"/>
                <w:sz w:val="20"/>
                <w:szCs w:val="20"/>
              </w:rPr>
            </w:pPr>
            <w:r>
              <w:rPr>
                <w:rFonts w:eastAsia="宋体" w:hint="eastAsia"/>
                <w:position w:val="-12"/>
              </w:rPr>
              <w:object w:dxaOrig="919" w:dyaOrig="377">
                <v:shape id="_x0000_i1033" type="#_x0000_t75" style="width:46pt;height:19pt" o:ole="">
                  <v:imagedata r:id="rId8" o:title=""/>
                </v:shape>
                <o:OLEObject Type="Embed" ProgID="Equation.3" ShapeID="_x0000_i1033" DrawAspect="Content" ObjectID="_1697655874" r:id="rId17"/>
              </w:object>
            </w:r>
          </w:p>
        </w:tc>
        <w:tc>
          <w:tcPr>
            <w:tcW w:w="1549" w:type="dxa"/>
          </w:tcPr>
          <w:p w:rsidR="00EA0F38" w:rsidRDefault="0096751C">
            <w:pPr>
              <w:jc w:val="center"/>
              <w:rPr>
                <w:rFonts w:ascii="Times New Roman" w:eastAsia="宋体" w:hAnsi="Times New Roman" w:cs="Times New Roman"/>
                <w:sz w:val="20"/>
                <w:szCs w:val="20"/>
              </w:rPr>
            </w:pPr>
            <w:r>
              <w:rPr>
                <w:rFonts w:eastAsia="宋体" w:hint="eastAsia"/>
                <w:position w:val="-12"/>
              </w:rPr>
              <w:object w:dxaOrig="919" w:dyaOrig="377">
                <v:shape id="_x0000_i1034" type="#_x0000_t75" style="width:46pt;height:19pt" o:ole="">
                  <v:imagedata r:id="rId8" o:title=""/>
                </v:shape>
                <o:OLEObject Type="Embed" ProgID="Equation.3" ShapeID="_x0000_i1034" DrawAspect="Content" ObjectID="_1697655875" r:id="rId18"/>
              </w:object>
            </w:r>
          </w:p>
        </w:tc>
        <w:tc>
          <w:tcPr>
            <w:tcW w:w="1551" w:type="dxa"/>
          </w:tcPr>
          <w:p w:rsidR="00EA0F38" w:rsidRDefault="0096751C">
            <w:pPr>
              <w:jc w:val="center"/>
              <w:rPr>
                <w:rFonts w:ascii="Times New Roman" w:eastAsia="宋体" w:hAnsi="Times New Roman" w:cs="Times New Roman"/>
                <w:sz w:val="20"/>
                <w:szCs w:val="20"/>
              </w:rPr>
            </w:pPr>
            <w:r>
              <w:rPr>
                <w:rFonts w:eastAsia="宋体" w:hint="eastAsia"/>
                <w:position w:val="-12"/>
              </w:rPr>
              <w:object w:dxaOrig="919" w:dyaOrig="377">
                <v:shape id="_x0000_i1035" type="#_x0000_t75" style="width:46pt;height:19pt" o:ole="">
                  <v:imagedata r:id="rId8" o:title=""/>
                </v:shape>
                <o:OLEObject Type="Embed" ProgID="Equation.3" ShapeID="_x0000_i1035" DrawAspect="Content" ObjectID="_1697655876" r:id="rId19"/>
              </w:object>
            </w:r>
          </w:p>
        </w:tc>
      </w:tr>
      <w:tr w:rsidR="00EA0F38">
        <w:trPr>
          <w:trHeight w:val="582"/>
          <w:jc w:val="center"/>
        </w:trPr>
        <w:tc>
          <w:tcPr>
            <w:tcW w:w="1419" w:type="dxa"/>
            <w:vMerge/>
          </w:tcPr>
          <w:p w:rsidR="00EA0F38" w:rsidRDefault="00EA0F38">
            <w:pPr>
              <w:jc w:val="center"/>
              <w:rPr>
                <w:rFonts w:ascii="Times New Roman" w:eastAsia="宋体" w:hAnsi="Times New Roman" w:cs="Times New Roman"/>
                <w:sz w:val="20"/>
                <w:szCs w:val="20"/>
              </w:rPr>
            </w:pPr>
          </w:p>
        </w:tc>
        <w:tc>
          <w:tcPr>
            <w:tcW w:w="1419" w:type="dxa"/>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Required bit number </w:t>
            </w:r>
          </w:p>
        </w:tc>
        <w:tc>
          <w:tcPr>
            <w:tcW w:w="1549"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22</w:t>
            </w:r>
          </w:p>
        </w:tc>
        <w:tc>
          <w:tcPr>
            <w:tcW w:w="1549"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23</w:t>
            </w:r>
          </w:p>
        </w:tc>
        <w:tc>
          <w:tcPr>
            <w:tcW w:w="1551"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26</w:t>
            </w:r>
          </w:p>
        </w:tc>
      </w:tr>
      <w:tr w:rsidR="00EA0F38">
        <w:trPr>
          <w:trHeight w:val="582"/>
          <w:jc w:val="center"/>
        </w:trPr>
        <w:tc>
          <w:tcPr>
            <w:tcW w:w="1419" w:type="dxa"/>
            <w:vMerge w:val="restart"/>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Common TA drift rate </w:t>
            </w:r>
          </w:p>
        </w:tc>
        <w:tc>
          <w:tcPr>
            <w:tcW w:w="1419" w:type="dxa"/>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Upper bound</w:t>
            </w:r>
          </w:p>
        </w:tc>
        <w:tc>
          <w:tcPr>
            <w:tcW w:w="1549" w:type="dxa"/>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45.4 us/s</w:t>
            </w:r>
          </w:p>
        </w:tc>
        <w:tc>
          <w:tcPr>
            <w:tcW w:w="1549" w:type="dxa"/>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40.1 us/s</w:t>
            </w:r>
          </w:p>
        </w:tc>
        <w:tc>
          <w:tcPr>
            <w:tcW w:w="1551" w:type="dxa"/>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w:t>
            </w:r>
          </w:p>
        </w:tc>
      </w:tr>
      <w:tr w:rsidR="00EA0F38">
        <w:trPr>
          <w:trHeight w:val="582"/>
          <w:jc w:val="center"/>
        </w:trPr>
        <w:tc>
          <w:tcPr>
            <w:tcW w:w="1419" w:type="dxa"/>
            <w:vMerge/>
          </w:tcPr>
          <w:p w:rsidR="00EA0F38" w:rsidRDefault="00EA0F38">
            <w:pPr>
              <w:jc w:val="center"/>
              <w:rPr>
                <w:rFonts w:ascii="Times New Roman" w:eastAsia="宋体" w:hAnsi="Times New Roman" w:cs="Times New Roman"/>
                <w:sz w:val="20"/>
                <w:szCs w:val="20"/>
              </w:rPr>
            </w:pPr>
          </w:p>
        </w:tc>
        <w:tc>
          <w:tcPr>
            <w:tcW w:w="1419" w:type="dxa"/>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Granularity</w:t>
            </w:r>
          </w:p>
        </w:tc>
        <w:tc>
          <w:tcPr>
            <w:tcW w:w="1549" w:type="dxa"/>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1.11e-2 us/s</w:t>
            </w:r>
          </w:p>
        </w:tc>
        <w:tc>
          <w:tcPr>
            <w:tcW w:w="1549" w:type="dxa"/>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1.11e-2 us/s</w:t>
            </w:r>
          </w:p>
        </w:tc>
        <w:tc>
          <w:tcPr>
            <w:tcW w:w="1551" w:type="dxa"/>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w:t>
            </w:r>
          </w:p>
        </w:tc>
      </w:tr>
      <w:tr w:rsidR="00EA0F38">
        <w:trPr>
          <w:trHeight w:val="582"/>
          <w:jc w:val="center"/>
        </w:trPr>
        <w:tc>
          <w:tcPr>
            <w:tcW w:w="1419" w:type="dxa"/>
            <w:vMerge/>
          </w:tcPr>
          <w:p w:rsidR="00EA0F38" w:rsidRDefault="00EA0F38">
            <w:pPr>
              <w:jc w:val="center"/>
              <w:rPr>
                <w:rFonts w:ascii="Times New Roman" w:eastAsia="宋体" w:hAnsi="Times New Roman" w:cs="Times New Roman"/>
                <w:sz w:val="20"/>
                <w:szCs w:val="20"/>
              </w:rPr>
            </w:pPr>
          </w:p>
        </w:tc>
        <w:tc>
          <w:tcPr>
            <w:tcW w:w="1419" w:type="dxa"/>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Required bit number </w:t>
            </w:r>
          </w:p>
        </w:tc>
        <w:tc>
          <w:tcPr>
            <w:tcW w:w="1549"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12</w:t>
            </w:r>
          </w:p>
        </w:tc>
        <w:tc>
          <w:tcPr>
            <w:tcW w:w="1549"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12</w:t>
            </w:r>
          </w:p>
        </w:tc>
        <w:tc>
          <w:tcPr>
            <w:tcW w:w="1551"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w:t>
            </w:r>
          </w:p>
        </w:tc>
      </w:tr>
      <w:tr w:rsidR="00EA0F38">
        <w:trPr>
          <w:trHeight w:val="582"/>
          <w:jc w:val="center"/>
        </w:trPr>
        <w:tc>
          <w:tcPr>
            <w:tcW w:w="1419" w:type="dxa"/>
            <w:vMerge w:val="restart"/>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Common TA drift rate variation</w:t>
            </w:r>
          </w:p>
        </w:tc>
        <w:tc>
          <w:tcPr>
            <w:tcW w:w="1419" w:type="dxa"/>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Upper bound </w:t>
            </w:r>
          </w:p>
        </w:tc>
        <w:tc>
          <w:tcPr>
            <w:tcW w:w="1549" w:type="dxa"/>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0.581 us/s</w:t>
            </w:r>
            <w:r>
              <w:rPr>
                <w:rFonts w:ascii="Times New Roman" w:eastAsia="宋体" w:hAnsi="Times New Roman" w:cs="Times New Roman" w:hint="eastAsia"/>
                <w:sz w:val="20"/>
                <w:szCs w:val="20"/>
                <w:vertAlign w:val="superscript"/>
              </w:rPr>
              <w:t>2</w:t>
            </w:r>
          </w:p>
        </w:tc>
        <w:tc>
          <w:tcPr>
            <w:tcW w:w="1549" w:type="dxa"/>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0.2464 us/s</w:t>
            </w:r>
            <w:r>
              <w:rPr>
                <w:rFonts w:ascii="Times New Roman" w:eastAsia="宋体" w:hAnsi="Times New Roman" w:cs="Times New Roman" w:hint="eastAsia"/>
                <w:sz w:val="20"/>
                <w:szCs w:val="20"/>
                <w:vertAlign w:val="superscript"/>
              </w:rPr>
              <w:t>2</w:t>
            </w:r>
          </w:p>
        </w:tc>
        <w:tc>
          <w:tcPr>
            <w:tcW w:w="1551" w:type="dxa"/>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w:t>
            </w:r>
          </w:p>
        </w:tc>
      </w:tr>
      <w:tr w:rsidR="00EA0F38">
        <w:trPr>
          <w:trHeight w:val="582"/>
          <w:jc w:val="center"/>
        </w:trPr>
        <w:tc>
          <w:tcPr>
            <w:tcW w:w="1419" w:type="dxa"/>
            <w:vMerge/>
          </w:tcPr>
          <w:p w:rsidR="00EA0F38" w:rsidRDefault="00EA0F38">
            <w:pPr>
              <w:jc w:val="center"/>
              <w:rPr>
                <w:rFonts w:ascii="Times New Roman" w:eastAsia="宋体" w:hAnsi="Times New Roman" w:cs="Times New Roman"/>
                <w:sz w:val="20"/>
                <w:szCs w:val="20"/>
              </w:rPr>
            </w:pPr>
          </w:p>
        </w:tc>
        <w:tc>
          <w:tcPr>
            <w:tcW w:w="1419" w:type="dxa"/>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Granularity</w:t>
            </w:r>
          </w:p>
        </w:tc>
        <w:tc>
          <w:tcPr>
            <w:tcW w:w="1549" w:type="dxa"/>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1.13e-3 us/s</w:t>
            </w:r>
            <w:r>
              <w:rPr>
                <w:rFonts w:ascii="Times New Roman" w:eastAsia="宋体" w:hAnsi="Times New Roman" w:cs="Times New Roman" w:hint="eastAsia"/>
                <w:sz w:val="20"/>
                <w:szCs w:val="20"/>
                <w:vertAlign w:val="superscript"/>
              </w:rPr>
              <w:t>2</w:t>
            </w:r>
          </w:p>
        </w:tc>
        <w:tc>
          <w:tcPr>
            <w:tcW w:w="1549" w:type="dxa"/>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1.13e-3 us/s</w:t>
            </w:r>
            <w:r>
              <w:rPr>
                <w:rFonts w:ascii="Times New Roman" w:eastAsia="宋体" w:hAnsi="Times New Roman" w:cs="Times New Roman" w:hint="eastAsia"/>
                <w:sz w:val="20"/>
                <w:szCs w:val="20"/>
                <w:vertAlign w:val="superscript"/>
              </w:rPr>
              <w:t>2</w:t>
            </w:r>
          </w:p>
        </w:tc>
        <w:tc>
          <w:tcPr>
            <w:tcW w:w="1551" w:type="dxa"/>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w:t>
            </w:r>
          </w:p>
        </w:tc>
      </w:tr>
      <w:tr w:rsidR="00EA0F38">
        <w:trPr>
          <w:trHeight w:val="582"/>
          <w:jc w:val="center"/>
        </w:trPr>
        <w:tc>
          <w:tcPr>
            <w:tcW w:w="1419" w:type="dxa"/>
            <w:vMerge/>
          </w:tcPr>
          <w:p w:rsidR="00EA0F38" w:rsidRDefault="00EA0F38">
            <w:pPr>
              <w:jc w:val="center"/>
              <w:rPr>
                <w:rFonts w:ascii="Times New Roman" w:eastAsia="宋体" w:hAnsi="Times New Roman" w:cs="Times New Roman"/>
                <w:sz w:val="20"/>
                <w:szCs w:val="20"/>
              </w:rPr>
            </w:pPr>
          </w:p>
        </w:tc>
        <w:tc>
          <w:tcPr>
            <w:tcW w:w="1419" w:type="dxa"/>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Required bit number </w:t>
            </w:r>
          </w:p>
        </w:tc>
        <w:tc>
          <w:tcPr>
            <w:tcW w:w="1549"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9</w:t>
            </w:r>
          </w:p>
        </w:tc>
        <w:tc>
          <w:tcPr>
            <w:tcW w:w="1549"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8</w:t>
            </w:r>
          </w:p>
        </w:tc>
        <w:tc>
          <w:tcPr>
            <w:tcW w:w="1551"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w:t>
            </w:r>
          </w:p>
        </w:tc>
      </w:tr>
    </w:tbl>
    <w:p w:rsidR="00EA0F38" w:rsidRDefault="0096751C">
      <w:pPr>
        <w:spacing w:beforeLines="50" w:before="120" w:line="240" w:lineRule="auto"/>
        <w:ind w:leftChars="200" w:left="440"/>
        <w:jc w:val="both"/>
        <w:rPr>
          <w:rFonts w:ascii="Times New Roman" w:eastAsia="宋体" w:hAnsi="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2: </w:t>
      </w:r>
      <w:r>
        <w:rPr>
          <w:rFonts w:ascii="Times New Roman" w:eastAsia="宋体" w:hAnsi="Times New Roman" w:hint="eastAsia"/>
          <w:i/>
          <w:sz w:val="20"/>
          <w:szCs w:val="20"/>
        </w:rPr>
        <w:t>The signaling granularity of common TA drift rate can be chosen as 1.11*10</w:t>
      </w:r>
      <w:r>
        <w:rPr>
          <w:rFonts w:ascii="Times New Roman" w:eastAsia="宋体" w:hAnsi="Times New Roman" w:hint="eastAsia"/>
          <w:i/>
          <w:sz w:val="20"/>
          <w:szCs w:val="20"/>
          <w:vertAlign w:val="superscript"/>
        </w:rPr>
        <w:t>-2</w:t>
      </w:r>
      <w:r>
        <w:rPr>
          <w:rFonts w:ascii="Times New Roman" w:eastAsia="宋体" w:hAnsi="Times New Roman" w:hint="eastAsia"/>
          <w:i/>
          <w:sz w:val="20"/>
          <w:szCs w:val="20"/>
        </w:rPr>
        <w:t xml:space="preserve"> us/s. The signaling granularity of common TA drift rate variation can be chosen as 1.13*10</w:t>
      </w:r>
      <w:r>
        <w:rPr>
          <w:rFonts w:ascii="Times New Roman" w:eastAsia="宋体" w:hAnsi="Times New Roman" w:hint="eastAsia"/>
          <w:i/>
          <w:sz w:val="20"/>
          <w:szCs w:val="20"/>
          <w:vertAlign w:val="superscript"/>
        </w:rPr>
        <w:t>-3</w:t>
      </w:r>
      <w:r>
        <w:rPr>
          <w:rFonts w:ascii="Times New Roman" w:eastAsia="宋体" w:hAnsi="Times New Roman" w:hint="eastAsia"/>
          <w:i/>
          <w:sz w:val="20"/>
          <w:szCs w:val="20"/>
        </w:rPr>
        <w:t xml:space="preserve"> us/s</w:t>
      </w:r>
      <w:r>
        <w:rPr>
          <w:rFonts w:ascii="Times New Roman" w:eastAsia="宋体" w:hAnsi="Times New Roman" w:hint="eastAsia"/>
          <w:i/>
          <w:sz w:val="20"/>
          <w:szCs w:val="20"/>
          <w:vertAlign w:val="superscript"/>
        </w:rPr>
        <w:t>2</w:t>
      </w:r>
      <w:r>
        <w:rPr>
          <w:rFonts w:ascii="Times New Roman" w:eastAsia="宋体" w:hAnsi="Times New Roman" w:hint="eastAsia"/>
          <w:i/>
          <w:sz w:val="20"/>
          <w:szCs w:val="20"/>
        </w:rPr>
        <w:t>.</w:t>
      </w:r>
    </w:p>
    <w:p w:rsidR="00EA0F38" w:rsidRDefault="0096751C">
      <w:pPr>
        <w:ind w:leftChars="200" w:left="440"/>
        <w:jc w:val="both"/>
        <w:rPr>
          <w:rFonts w:ascii="Times New Roman" w:eastAsia="宋体" w:hAnsi="Times New Roman"/>
          <w:bCs/>
          <w:i/>
          <w:iCs/>
          <w:sz w:val="20"/>
          <w:szCs w:val="20"/>
        </w:rPr>
      </w:pPr>
      <w:r>
        <w:rPr>
          <w:rFonts w:ascii="Times New Roman" w:eastAsia="宋体" w:hAnsi="Times New Roman"/>
          <w:b/>
          <w:i/>
          <w:sz w:val="20"/>
          <w:szCs w:val="20"/>
        </w:rPr>
        <w:t xml:space="preserve">Proposal </w:t>
      </w:r>
      <w:r>
        <w:rPr>
          <w:rFonts w:ascii="Times New Roman" w:eastAsia="宋体" w:hAnsi="Times New Roman" w:hint="eastAsia"/>
          <w:b/>
          <w:i/>
          <w:sz w:val="20"/>
          <w:szCs w:val="20"/>
        </w:rPr>
        <w:t>3</w:t>
      </w:r>
      <w:r>
        <w:rPr>
          <w:rFonts w:ascii="Times New Roman" w:eastAsia="宋体" w:hAnsi="Times New Roman"/>
          <w:b/>
          <w:i/>
          <w:sz w:val="20"/>
          <w:szCs w:val="20"/>
        </w:rPr>
        <w:t xml:space="preserve">: </w:t>
      </w:r>
      <w:r>
        <w:rPr>
          <w:rFonts w:ascii="Times New Roman" w:hAnsi="Times New Roman" w:cs="Times New Roman" w:hint="eastAsia"/>
          <w:i/>
          <w:iCs/>
          <w:sz w:val="20"/>
          <w:szCs w:val="20"/>
        </w:rPr>
        <w:t>If only one type of common TA signaling is supported, following configurations can be considered</w:t>
      </w:r>
      <w:r>
        <w:rPr>
          <w:rFonts w:ascii="Times New Roman" w:eastAsia="宋体" w:hAnsi="Times New Roman"/>
          <w:bCs/>
          <w:i/>
          <w:iCs/>
          <w:sz w:val="20"/>
          <w:szCs w:val="20"/>
        </w:rPr>
        <w:t>:</w:t>
      </w:r>
    </w:p>
    <w:p w:rsidR="00EA0F38" w:rsidRDefault="0096751C">
      <w:pPr>
        <w:numPr>
          <w:ilvl w:val="0"/>
          <w:numId w:val="14"/>
        </w:numPr>
        <w:tabs>
          <w:tab w:val="clear" w:pos="840"/>
          <w:tab w:val="left" w:pos="420"/>
        </w:tabs>
        <w:adjustRightInd w:val="0"/>
        <w:snapToGrid w:val="0"/>
        <w:spacing w:after="0" w:line="240" w:lineRule="auto"/>
        <w:rPr>
          <w:rFonts w:ascii="Times New Roman" w:hAnsi="Times New Roman" w:cs="Times New Roman"/>
          <w:i/>
          <w:iCs/>
          <w:sz w:val="20"/>
          <w:szCs w:val="20"/>
        </w:rPr>
      </w:pPr>
      <w:r>
        <w:rPr>
          <w:rFonts w:ascii="Times New Roman" w:hAnsi="Times New Roman" w:cs="Times New Roman"/>
          <w:i/>
          <w:iCs/>
          <w:sz w:val="20"/>
          <w:szCs w:val="20"/>
        </w:rPr>
        <w:t>{one common TA in a field of 26 bits, one first order drift rate in a field of 12 bits, one second order drift rate in a field of 9 bits}</w:t>
      </w:r>
    </w:p>
    <w:p w:rsidR="00EA0F38" w:rsidRDefault="0096751C">
      <w:pPr>
        <w:spacing w:beforeLines="50" w:before="120" w:line="240" w:lineRule="auto"/>
        <w:ind w:leftChars="200" w:left="440"/>
        <w:jc w:val="both"/>
        <w:rPr>
          <w:rFonts w:ascii="Times New Roman" w:hAnsi="Times New Roman" w:cs="Times New Roman"/>
          <w:i/>
          <w:iCs/>
          <w:sz w:val="20"/>
          <w:szCs w:val="20"/>
        </w:rPr>
      </w:pPr>
      <w:r>
        <w:rPr>
          <w:rFonts w:ascii="Times New Roman" w:eastAsia="宋体" w:hAnsi="Times New Roman"/>
          <w:b/>
          <w:i/>
          <w:iCs/>
          <w:sz w:val="20"/>
          <w:szCs w:val="20"/>
        </w:rPr>
        <w:t xml:space="preserve">Proposal </w:t>
      </w:r>
      <w:r>
        <w:rPr>
          <w:rFonts w:ascii="Times New Roman" w:eastAsia="宋体" w:hAnsi="Times New Roman" w:hint="eastAsia"/>
          <w:b/>
          <w:i/>
          <w:iCs/>
          <w:sz w:val="20"/>
          <w:szCs w:val="20"/>
        </w:rPr>
        <w:t xml:space="preserve">4: </w:t>
      </w:r>
      <w:r>
        <w:rPr>
          <w:rFonts w:ascii="Times New Roman" w:hAnsi="Times New Roman" w:cs="Times New Roman" w:hint="eastAsia"/>
          <w:i/>
          <w:iCs/>
          <w:sz w:val="20"/>
          <w:szCs w:val="20"/>
        </w:rPr>
        <w:t>If different types of common TA signaling are supported for different scenarios, following configurations can be considered</w:t>
      </w:r>
    </w:p>
    <w:p w:rsidR="00EA0F38" w:rsidRDefault="0096751C">
      <w:pPr>
        <w:numPr>
          <w:ilvl w:val="0"/>
          <w:numId w:val="15"/>
        </w:numPr>
        <w:spacing w:beforeLines="50" w:before="120" w:line="240" w:lineRule="auto"/>
        <w:jc w:val="both"/>
        <w:rPr>
          <w:rFonts w:ascii="Times New Roman" w:eastAsia="宋体" w:hAnsi="Times New Roman"/>
          <w:i/>
          <w:iCs/>
          <w:sz w:val="20"/>
          <w:szCs w:val="20"/>
        </w:rPr>
      </w:pPr>
      <w:r>
        <w:rPr>
          <w:rFonts w:ascii="Times New Roman" w:hAnsi="Times New Roman" w:cs="Times New Roman"/>
          <w:i/>
          <w:iCs/>
          <w:sz w:val="20"/>
          <w:szCs w:val="20"/>
        </w:rPr>
        <w:t>{one common TA in a field of 2</w:t>
      </w:r>
      <w:r>
        <w:rPr>
          <w:rFonts w:ascii="Times New Roman" w:hAnsi="Times New Roman" w:cs="Times New Roman" w:hint="eastAsia"/>
          <w:i/>
          <w:iCs/>
          <w:sz w:val="20"/>
          <w:szCs w:val="20"/>
        </w:rPr>
        <w:t>3</w:t>
      </w:r>
      <w:r>
        <w:rPr>
          <w:rFonts w:ascii="Times New Roman" w:hAnsi="Times New Roman" w:cs="Times New Roman"/>
          <w:i/>
          <w:iCs/>
          <w:sz w:val="20"/>
          <w:szCs w:val="20"/>
        </w:rPr>
        <w:t xml:space="preserve"> bits, one first order drift rate in a field of 12 bits, one second order drift rate in a field of 9 bits}</w:t>
      </w:r>
    </w:p>
    <w:p w:rsidR="00EA0F38" w:rsidRDefault="0096751C">
      <w:pPr>
        <w:numPr>
          <w:ilvl w:val="0"/>
          <w:numId w:val="15"/>
        </w:numPr>
        <w:spacing w:beforeLines="50" w:before="120" w:line="240" w:lineRule="auto"/>
        <w:jc w:val="both"/>
        <w:rPr>
          <w:rFonts w:ascii="Times New Roman" w:eastAsia="宋体" w:hAnsi="Times New Roman"/>
          <w:i/>
          <w:sz w:val="20"/>
          <w:szCs w:val="20"/>
        </w:rPr>
      </w:pPr>
      <w:r>
        <w:rPr>
          <w:rFonts w:ascii="Times New Roman" w:hAnsi="Times New Roman" w:cs="Times New Roman"/>
          <w:i/>
          <w:iCs/>
          <w:sz w:val="20"/>
          <w:szCs w:val="20"/>
        </w:rPr>
        <w:t>{one common TA in a field of 2</w:t>
      </w:r>
      <w:r>
        <w:rPr>
          <w:rFonts w:ascii="Times New Roman" w:hAnsi="Times New Roman" w:cs="Times New Roman" w:hint="eastAsia"/>
          <w:i/>
          <w:iCs/>
          <w:sz w:val="20"/>
          <w:szCs w:val="20"/>
        </w:rPr>
        <w:t>6</w:t>
      </w:r>
      <w:r>
        <w:rPr>
          <w:rFonts w:ascii="Times New Roman" w:hAnsi="Times New Roman" w:cs="Times New Roman"/>
          <w:i/>
          <w:iCs/>
          <w:sz w:val="20"/>
          <w:szCs w:val="20"/>
        </w:rPr>
        <w:t xml:space="preserve"> bits}</w:t>
      </w:r>
    </w:p>
    <w:p w:rsidR="00EA0F38" w:rsidRDefault="0096751C">
      <w:pPr>
        <w:pStyle w:val="2"/>
        <w:numPr>
          <w:ilvl w:val="1"/>
          <w:numId w:val="8"/>
        </w:numPr>
        <w:rPr>
          <w:rFonts w:ascii="Times New Roman" w:eastAsia="宋体" w:hAnsi="Times New Roman" w:cs="Times New Roman"/>
          <w:sz w:val="24"/>
          <w:szCs w:val="24"/>
          <w:lang w:val="en-US"/>
        </w:rPr>
      </w:pPr>
      <w:r>
        <w:rPr>
          <w:rFonts w:ascii="Times New Roman" w:eastAsia="宋体" w:hAnsi="Times New Roman" w:cs="Times New Roman" w:hint="eastAsia"/>
          <w:sz w:val="24"/>
          <w:szCs w:val="24"/>
          <w:lang w:val="en-US"/>
        </w:rPr>
        <w:t>TA maintenance mechanism</w:t>
      </w:r>
      <w:r>
        <w:rPr>
          <w:rFonts w:ascii="Times New Roman" w:eastAsia="宋体" w:hAnsi="Times New Roman" w:cs="Times New Roman"/>
          <w:sz w:val="24"/>
          <w:szCs w:val="24"/>
          <w:lang w:val="en-US"/>
        </w:rPr>
        <w:t xml:space="preserve"> </w:t>
      </w:r>
    </w:p>
    <w:p w:rsidR="00EA0F38" w:rsidRDefault="0096751C">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According to previous discussion, following equation is considered for the TA calculation</w:t>
      </w:r>
      <w:r>
        <w:rPr>
          <w:rFonts w:ascii="Times New Roman" w:eastAsia="宋体" w:hAnsi="Times New Roman" w:cs="Times New Roman" w:hint="eastAsia"/>
          <w:sz w:val="20"/>
          <w:szCs w:val="20"/>
        </w:rPr>
        <w:t xml:space="preserve"> in RAN1#106b-e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_Ref32552 \n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w:t>
      </w:r>
    </w:p>
    <w:p w:rsidR="00EA0F38" w:rsidRDefault="0096751C">
      <w:pPr>
        <w:spacing w:after="240" w:line="240" w:lineRule="auto"/>
        <w:jc w:val="center"/>
        <w:rPr>
          <w:rFonts w:ascii="Times New Roman" w:eastAsia="宋体" w:hAnsi="Times New Roman" w:cs="Times New Roman"/>
          <w:sz w:val="20"/>
          <w:szCs w:val="20"/>
        </w:rPr>
      </w:pPr>
      <w:r>
        <w:rPr>
          <w:rFonts w:ascii="Cambria Math" w:eastAsia="宋体" w:hAnsi="Cambria Math" w:cs="Times New Roman" w:hint="eastAsia"/>
          <w:sz w:val="20"/>
          <w:szCs w:val="20"/>
        </w:rPr>
        <w:t xml:space="preserve"> </w:t>
      </w:r>
      <w:r>
        <w:rPr>
          <w:rFonts w:ascii="Times New Roman" w:eastAsia="宋体" w:hAnsi="Times New Roman" w:cs="Times New Roman" w:hint="eastAsia"/>
          <w:position w:val="-14"/>
          <w:sz w:val="20"/>
          <w:szCs w:val="20"/>
        </w:rPr>
        <w:object w:dxaOrig="4830" w:dyaOrig="377">
          <v:shape id="_x0000_i1036" type="#_x0000_t75" style="width:241.5pt;height:19pt" o:ole="">
            <v:imagedata r:id="rId20" o:title=""/>
          </v:shape>
          <o:OLEObject Type="Embed" ProgID="Equation.KSEE3" ShapeID="_x0000_i1036" DrawAspect="Content" ObjectID="_1697655877" r:id="rId21"/>
        </w:object>
      </w:r>
      <w:r>
        <w:rPr>
          <w:rFonts w:ascii="Cambria Math" w:eastAsia="宋体" w:hAnsi="Cambria Math" w:cs="Times New Roman" w:hint="eastAsia"/>
          <w:sz w:val="20"/>
          <w:szCs w:val="20"/>
        </w:rPr>
        <w:t>.</w:t>
      </w:r>
    </w:p>
    <w:p w:rsidR="00EA0F38" w:rsidRDefault="0096751C">
      <w:p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lastRenderedPageBreak/>
        <w:t xml:space="preserve">How to </w:t>
      </w:r>
      <w:proofErr w:type="gramStart"/>
      <w:r>
        <w:rPr>
          <w:rFonts w:ascii="Times New Roman" w:eastAsia="宋体" w:hAnsi="Times New Roman" w:cs="Times New Roman" w:hint="eastAsia"/>
          <w:sz w:val="20"/>
          <w:szCs w:val="20"/>
        </w:rPr>
        <w:t xml:space="preserve">calculate </w:t>
      </w:r>
      <w:proofErr w:type="gramEnd"/>
      <w:r>
        <w:rPr>
          <w:rFonts w:ascii="Times New Roman" w:eastAsia="宋体" w:hAnsi="Times New Roman" w:cs="Times New Roman" w:hint="eastAsia"/>
          <w:position w:val="-10"/>
          <w:sz w:val="20"/>
          <w:szCs w:val="20"/>
        </w:rPr>
        <w:object w:dxaOrig="421" w:dyaOrig="343">
          <v:shape id="_x0000_i1037" type="#_x0000_t75" style="width:21pt;height:17pt" o:ole="">
            <v:imagedata r:id="rId22" o:title=""/>
          </v:shape>
          <o:OLEObject Type="Embed" ProgID="Equation.KSEE3" ShapeID="_x0000_i1037" DrawAspect="Content" ObjectID="_1697655878" r:id="rId23"/>
        </w:object>
      </w:r>
      <w:r>
        <w:rPr>
          <w:rFonts w:ascii="Times New Roman" w:eastAsia="宋体" w:hAnsi="Times New Roman" w:cs="Times New Roman" w:hint="eastAsia"/>
          <w:sz w:val="20"/>
          <w:szCs w:val="20"/>
        </w:rPr>
        <w:t xml:space="preserve">, </w:t>
      </w:r>
      <w:r>
        <w:rPr>
          <w:rFonts w:ascii="Times New Roman" w:eastAsia="宋体" w:hAnsi="Times New Roman" w:cs="Times New Roman" w:hint="eastAsia"/>
          <w:position w:val="-14"/>
          <w:sz w:val="20"/>
          <w:szCs w:val="20"/>
        </w:rPr>
        <w:object w:dxaOrig="1185" w:dyaOrig="377">
          <v:shape id="_x0000_i1038" type="#_x0000_t75" style="width:59.5pt;height:19pt" o:ole="">
            <v:imagedata r:id="rId24" o:title=""/>
          </v:shape>
          <o:OLEObject Type="Embed" ProgID="Equation.KSEE3" ShapeID="_x0000_i1038" DrawAspect="Content" ObjectID="_1697655879" r:id="rId25"/>
        </w:object>
      </w:r>
      <w:r>
        <w:rPr>
          <w:rFonts w:ascii="Cambria Math" w:eastAsia="宋体" w:hAnsi="Cambria Math" w:cs="Times New Roman" w:hint="eastAsia"/>
          <w:sz w:val="20"/>
          <w:szCs w:val="20"/>
        </w:rPr>
        <w:t xml:space="preserve"> </w:t>
      </w:r>
      <w:r>
        <w:rPr>
          <w:rFonts w:ascii="Times New Roman" w:eastAsia="宋体" w:hAnsi="Times New Roman" w:cs="Times New Roman" w:hint="eastAsia"/>
          <w:sz w:val="20"/>
          <w:szCs w:val="20"/>
        </w:rPr>
        <w:t xml:space="preserve">and </w:t>
      </w:r>
      <w:r>
        <w:rPr>
          <w:rFonts w:ascii="Times New Roman" w:eastAsia="宋体" w:hAnsi="Times New Roman" w:cs="Times New Roman" w:hint="eastAsia"/>
          <w:position w:val="-14"/>
          <w:sz w:val="20"/>
          <w:szCs w:val="20"/>
        </w:rPr>
        <w:object w:dxaOrig="942" w:dyaOrig="377">
          <v:shape id="_x0000_i1039" type="#_x0000_t75" style="width:47pt;height:19pt" o:ole="">
            <v:imagedata r:id="rId26" o:title=""/>
          </v:shape>
          <o:OLEObject Type="Embed" ProgID="Equation.KSEE3" ShapeID="_x0000_i1039" DrawAspect="Content" ObjectID="_1697655880" r:id="rId27"/>
        </w:object>
      </w:r>
      <w:r>
        <w:rPr>
          <w:rFonts w:ascii="Times New Roman" w:eastAsia="宋体" w:hAnsi="Times New Roman" w:cs="Times New Roman" w:hint="eastAsia"/>
          <w:sz w:val="20"/>
          <w:szCs w:val="20"/>
        </w:rPr>
        <w:t xml:space="preserve"> </w:t>
      </w:r>
      <w:proofErr w:type="spellStart"/>
      <w:r>
        <w:rPr>
          <w:rFonts w:ascii="Times New Roman" w:eastAsia="宋体" w:hAnsi="Times New Roman" w:cs="Times New Roman" w:hint="eastAsia"/>
          <w:sz w:val="20"/>
          <w:szCs w:val="20"/>
        </w:rPr>
        <w:t>and</w:t>
      </w:r>
      <w:proofErr w:type="spellEnd"/>
      <w:r>
        <w:rPr>
          <w:rFonts w:ascii="Times New Roman" w:eastAsia="宋体" w:hAnsi="Times New Roman" w:cs="Times New Roman" w:hint="eastAsia"/>
          <w:sz w:val="20"/>
          <w:szCs w:val="20"/>
        </w:rPr>
        <w:t xml:space="preserve"> how to combine the open and closed loop mechanisms are not determined yet. </w:t>
      </w:r>
    </w:p>
    <w:p w:rsidR="00EA0F38" w:rsidRDefault="0096751C">
      <w:pPr>
        <w:pStyle w:val="2"/>
        <w:numPr>
          <w:ilvl w:val="2"/>
          <w:numId w:val="8"/>
        </w:numPr>
        <w:rPr>
          <w:rFonts w:ascii="Times New Roman" w:eastAsia="宋体" w:hAnsi="Times New Roman" w:cs="Times New Roman"/>
          <w:sz w:val="24"/>
          <w:szCs w:val="24"/>
          <w:lang w:val="en-US"/>
        </w:rPr>
      </w:pPr>
      <w:r>
        <w:rPr>
          <w:rFonts w:ascii="Times New Roman" w:eastAsia="宋体" w:hAnsi="Times New Roman" w:cs="Times New Roman"/>
          <w:sz w:val="24"/>
          <w:szCs w:val="24"/>
          <w:lang w:val="en-US"/>
        </w:rPr>
        <w:t xml:space="preserve">Mechanism on TA </w:t>
      </w:r>
      <w:r>
        <w:rPr>
          <w:rFonts w:ascii="Times New Roman" w:eastAsia="宋体" w:hAnsi="Times New Roman" w:cs="Times New Roman" w:hint="eastAsia"/>
          <w:sz w:val="24"/>
          <w:szCs w:val="24"/>
          <w:lang w:val="en-US"/>
        </w:rPr>
        <w:t>calculation/</w:t>
      </w:r>
      <w:r>
        <w:rPr>
          <w:rFonts w:ascii="Times New Roman" w:eastAsia="宋体" w:hAnsi="Times New Roman" w:cs="Times New Roman"/>
          <w:sz w:val="24"/>
          <w:szCs w:val="24"/>
          <w:lang w:val="en-US"/>
        </w:rPr>
        <w:t>update</w:t>
      </w:r>
      <w:r>
        <w:rPr>
          <w:rFonts w:ascii="Times New Roman" w:eastAsia="宋体" w:hAnsi="Times New Roman" w:cs="Times New Roman" w:hint="eastAsia"/>
          <w:sz w:val="24"/>
          <w:szCs w:val="24"/>
          <w:lang w:val="en-US"/>
        </w:rPr>
        <w:t xml:space="preserve"> </w:t>
      </w:r>
      <w:r>
        <w:rPr>
          <w:rFonts w:ascii="Times New Roman" w:eastAsia="宋体" w:hAnsi="Times New Roman" w:cs="Times New Roman"/>
          <w:sz w:val="24"/>
          <w:szCs w:val="24"/>
          <w:lang w:val="en-US"/>
        </w:rPr>
        <w:t>with Closed-loop value</w:t>
      </w:r>
    </w:p>
    <w:p w:rsidR="00EA0F38" w:rsidRDefault="0096751C">
      <w:pPr>
        <w:spacing w:after="120"/>
        <w:ind w:leftChars="191" w:left="42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The closed loop TA control, i.e., update mechanism </w:t>
      </w:r>
      <w:proofErr w:type="gramStart"/>
      <w:r>
        <w:rPr>
          <w:rFonts w:ascii="Times New Roman" w:eastAsia="宋体" w:hAnsi="Times New Roman" w:cs="Times New Roman" w:hint="eastAsia"/>
          <w:sz w:val="20"/>
          <w:szCs w:val="20"/>
        </w:rPr>
        <w:t xml:space="preserve">of </w:t>
      </w:r>
      <w:proofErr w:type="gramEnd"/>
      <w:r>
        <w:rPr>
          <w:rFonts w:ascii="Times New Roman" w:eastAsia="宋体" w:hAnsi="Times New Roman" w:cs="Times New Roman" w:hint="eastAsia"/>
          <w:position w:val="-10"/>
          <w:sz w:val="20"/>
          <w:szCs w:val="20"/>
        </w:rPr>
        <w:object w:dxaOrig="421" w:dyaOrig="343">
          <v:shape id="_x0000_i1040" type="#_x0000_t75" style="width:21pt;height:17pt" o:ole="">
            <v:imagedata r:id="rId22" o:title=""/>
          </v:shape>
          <o:OLEObject Type="Embed" ProgID="Equation.KSEE3" ShapeID="_x0000_i1040" DrawAspect="Content" ObjectID="_1697655881" r:id="rId28"/>
        </w:object>
      </w:r>
      <w:r>
        <w:rPr>
          <w:rFonts w:ascii="Times New Roman" w:eastAsia="宋体" w:hAnsi="Times New Roman" w:cs="Times New Roman" w:hint="eastAsia"/>
          <w:sz w:val="20"/>
          <w:szCs w:val="20"/>
        </w:rPr>
        <w:t xml:space="preserve">, has been agreed in RAN1#106e based on Rel-16 specification except that </w:t>
      </w:r>
      <w:r>
        <w:rPr>
          <w:rFonts w:ascii="Times New Roman" w:eastAsia="宋体" w:hAnsi="Times New Roman" w:cs="Times New Roman" w:hint="eastAsia"/>
          <w:position w:val="-14"/>
          <w:sz w:val="20"/>
          <w:szCs w:val="20"/>
        </w:rPr>
        <w:object w:dxaOrig="731" w:dyaOrig="377">
          <v:shape id="_x0000_i1041" type="#_x0000_t75" style="width:36.5pt;height:19pt" o:ole="">
            <v:imagedata r:id="rId29" o:title=""/>
          </v:shape>
          <o:OLEObject Type="Embed" ProgID="Equation.KSEE3" ShapeID="_x0000_i1041" DrawAspect="Content" ObjectID="_1697655882" r:id="rId30"/>
        </w:object>
      </w:r>
      <w:r>
        <w:rPr>
          <w:rFonts w:ascii="Times New Roman" w:eastAsia="宋体" w:hAnsi="Times New Roman" w:cs="Times New Roman" w:hint="eastAsia"/>
          <w:sz w:val="20"/>
          <w:szCs w:val="20"/>
        </w:rPr>
        <w:t xml:space="preserve"> is introduced at initial access and its value is FFS with consideration on TA margin. However, in RAN1#106b-e, the TA margin is concluded not introduced as mentioned above. Therefore, </w:t>
      </w:r>
      <w:r>
        <w:rPr>
          <w:rFonts w:ascii="Times New Roman" w:eastAsia="宋体" w:hAnsi="Times New Roman" w:cs="Times New Roman" w:hint="eastAsia"/>
          <w:position w:val="-14"/>
          <w:sz w:val="20"/>
          <w:szCs w:val="20"/>
        </w:rPr>
        <w:object w:dxaOrig="731" w:dyaOrig="377">
          <v:shape id="_x0000_i1042" type="#_x0000_t75" style="width:36.5pt;height:19pt" o:ole="">
            <v:imagedata r:id="rId29" o:title=""/>
          </v:shape>
          <o:OLEObject Type="Embed" ProgID="Equation.KSEE3" ShapeID="_x0000_i1042" DrawAspect="Content" ObjectID="_1697655883" r:id="rId31"/>
        </w:object>
      </w:r>
      <w:r>
        <w:rPr>
          <w:rFonts w:ascii="Times New Roman" w:eastAsia="宋体" w:hAnsi="Times New Roman" w:cs="Times New Roman" w:hint="eastAsia"/>
          <w:position w:val="-14"/>
          <w:sz w:val="20"/>
          <w:szCs w:val="20"/>
        </w:rPr>
        <w:t xml:space="preserve"> </w:t>
      </w:r>
      <w:r>
        <w:rPr>
          <w:rFonts w:ascii="Times New Roman" w:eastAsia="宋体" w:hAnsi="Times New Roman" w:cs="Times New Roman" w:hint="eastAsia"/>
          <w:sz w:val="20"/>
          <w:szCs w:val="20"/>
        </w:rPr>
        <w:t>is always equal to zero in initial access and can be removed from the formula.</w:t>
      </w:r>
    </w:p>
    <w:p w:rsidR="00EA0F38" w:rsidRDefault="0096751C">
      <w:pPr>
        <w:spacing w:beforeLines="50" w:before="120" w:afterLines="50" w:after="120" w:line="240" w:lineRule="auto"/>
        <w:ind w:left="420"/>
        <w:jc w:val="both"/>
        <w:rPr>
          <w:rFonts w:ascii="Times New Roman" w:hAnsi="Times New Roman"/>
          <w:i/>
          <w:iCs/>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5: </w:t>
      </w:r>
      <w:r>
        <w:rPr>
          <w:rFonts w:ascii="Times New Roman" w:hAnsi="Times New Roman"/>
          <w:i/>
          <w:iCs/>
          <w:sz w:val="20"/>
          <w:szCs w:val="20"/>
        </w:rPr>
        <w:t xml:space="preserve">When TAC </w:t>
      </w:r>
      <w:r>
        <w:rPr>
          <w:rFonts w:ascii="Times New Roman" w:hAnsi="Times New Roman"/>
          <w:sz w:val="20"/>
          <w:szCs w:val="20"/>
        </w:rPr>
        <w:t>(</w:t>
      </w:r>
      <w:r>
        <w:rPr>
          <w:rFonts w:ascii="Times New Roman" w:hAnsi="Times New Roman"/>
          <w:position w:val="-10"/>
          <w:sz w:val="20"/>
          <w:szCs w:val="20"/>
        </w:rPr>
        <w:object w:dxaOrig="321" w:dyaOrig="343">
          <v:shape id="_x0000_i1043" type="#_x0000_t75" style="width:16pt;height:17pt" o:ole="">
            <v:imagedata r:id="rId32" o:title=""/>
          </v:shape>
          <o:OLEObject Type="Embed" ProgID="Equation.KSEE3" ShapeID="_x0000_i1043" DrawAspect="Content" ObjectID="_1697655884" r:id="rId33"/>
        </w:object>
      </w:r>
      <w:r>
        <w:rPr>
          <w:rFonts w:ascii="Times New Roman" w:hAnsi="Times New Roman" w:hint="eastAsia"/>
          <w:sz w:val="20"/>
          <w:szCs w:val="20"/>
        </w:rPr>
        <w:t>)</w:t>
      </w:r>
      <w:r>
        <w:rPr>
          <w:rFonts w:ascii="Times New Roman" w:hAnsi="Times New Roman"/>
          <w:i/>
          <w:iCs/>
          <w:sz w:val="20"/>
          <w:szCs w:val="20"/>
        </w:rPr>
        <w:t xml:space="preserve"> </w:t>
      </w:r>
      <w:r>
        <w:rPr>
          <w:rFonts w:ascii="Times New Roman" w:hAnsi="Times New Roman" w:hint="eastAsia"/>
          <w:i/>
          <w:iCs/>
          <w:sz w:val="20"/>
          <w:szCs w:val="20"/>
        </w:rPr>
        <w:t>in msg2/</w:t>
      </w:r>
      <w:proofErr w:type="spellStart"/>
      <w:r>
        <w:rPr>
          <w:rFonts w:ascii="Times New Roman" w:hAnsi="Times New Roman" w:hint="eastAsia"/>
          <w:i/>
          <w:iCs/>
          <w:sz w:val="20"/>
          <w:szCs w:val="20"/>
        </w:rPr>
        <w:t>msgB</w:t>
      </w:r>
      <w:proofErr w:type="spellEnd"/>
      <w:r>
        <w:rPr>
          <w:rFonts w:ascii="Times New Roman" w:hAnsi="Times New Roman" w:hint="eastAsia"/>
          <w:i/>
          <w:iCs/>
          <w:sz w:val="20"/>
          <w:szCs w:val="20"/>
        </w:rPr>
        <w:t xml:space="preserve"> is received,</w:t>
      </w:r>
      <w:r>
        <w:rPr>
          <w:rFonts w:ascii="Times New Roman" w:hAnsi="Times New Roman"/>
          <w:i/>
          <w:iCs/>
          <w:sz w:val="20"/>
          <w:szCs w:val="20"/>
        </w:rPr>
        <w:t> </w:t>
      </w:r>
      <w:r>
        <w:rPr>
          <w:rFonts w:ascii="Times New Roman" w:eastAsia="宋体" w:hAnsi="Times New Roman" w:cs="Times New Roman" w:hint="eastAsia"/>
          <w:position w:val="-10"/>
          <w:sz w:val="20"/>
          <w:szCs w:val="20"/>
        </w:rPr>
        <w:object w:dxaOrig="421" w:dyaOrig="343">
          <v:shape id="_x0000_i1044" type="#_x0000_t75" style="width:21pt;height:17pt" o:ole="">
            <v:imagedata r:id="rId22" o:title=""/>
          </v:shape>
          <o:OLEObject Type="Embed" ProgID="Equation.KSEE3" ShapeID="_x0000_i1044" DrawAspect="Content" ObjectID="_1697655885" r:id="rId34"/>
        </w:object>
      </w:r>
      <w:r>
        <w:rPr>
          <w:rFonts w:ascii="Times New Roman" w:hAnsi="Times New Roman"/>
          <w:i/>
          <w:iCs/>
          <w:sz w:val="20"/>
          <w:szCs w:val="20"/>
        </w:rPr>
        <w:fldChar w:fldCharType="begin"/>
      </w:r>
      <w:r>
        <w:rPr>
          <w:rFonts w:ascii="Times New Roman" w:hAnsi="Times New Roman"/>
          <w:i/>
          <w:iCs/>
          <w:sz w:val="20"/>
          <w:szCs w:val="20"/>
        </w:rPr>
        <w:instrText xml:space="preserve"> QUOTE </w:instrText>
      </w:r>
      <w:r w:rsidR="00052A59">
        <w:rPr>
          <w:rFonts w:ascii="Times New Roman" w:hAnsi="Times New Roman"/>
          <w:i/>
          <w:iCs/>
          <w:sz w:val="20"/>
          <w:szCs w:val="20"/>
        </w:rPr>
        <w:pict>
          <v:shape id="_x0000_i1045" type="#_x0000_t75" style="width:17pt;height:1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553D3&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D553D3&quot; wsp:rsidP=&quot;00D553D3&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Pr>
          <w:rFonts w:ascii="Times New Roman" w:hAnsi="Times New Roman"/>
          <w:i/>
          <w:iCs/>
          <w:sz w:val="20"/>
          <w:szCs w:val="20"/>
        </w:rPr>
        <w:instrText xml:space="preserve"> </w:instrText>
      </w:r>
      <w:r>
        <w:rPr>
          <w:rFonts w:ascii="Times New Roman" w:hAnsi="Times New Roman"/>
          <w:i/>
          <w:iCs/>
          <w:sz w:val="20"/>
          <w:szCs w:val="20"/>
        </w:rPr>
        <w:fldChar w:fldCharType="end"/>
      </w:r>
      <w:r>
        <w:rPr>
          <w:rFonts w:ascii="Times New Roman" w:hAnsi="Times New Roman"/>
          <w:i/>
          <w:iCs/>
          <w:sz w:val="20"/>
          <w:szCs w:val="20"/>
        </w:rPr>
        <w:t xml:space="preserve"> is </w:t>
      </w:r>
      <w:r>
        <w:rPr>
          <w:rFonts w:ascii="Times New Roman" w:hAnsi="Times New Roman" w:hint="eastAsia"/>
          <w:i/>
          <w:iCs/>
          <w:sz w:val="20"/>
          <w:szCs w:val="20"/>
        </w:rPr>
        <w:t xml:space="preserve">calculated </w:t>
      </w:r>
      <w:r>
        <w:rPr>
          <w:rFonts w:ascii="Times New Roman" w:hAnsi="Times New Roman"/>
          <w:i/>
          <w:iCs/>
          <w:sz w:val="20"/>
          <w:szCs w:val="20"/>
        </w:rPr>
        <w:t>as follows:</w:t>
      </w:r>
    </w:p>
    <w:p w:rsidR="00EA0F38" w:rsidRDefault="0096751C">
      <w:pPr>
        <w:spacing w:beforeLines="50" w:before="120" w:afterLines="50" w:after="120" w:line="240" w:lineRule="auto"/>
        <w:ind w:left="420"/>
        <w:jc w:val="center"/>
        <w:rPr>
          <w:rFonts w:ascii="Times New Roman" w:hAnsi="Times New Roman"/>
          <w:i/>
          <w:iCs/>
          <w:sz w:val="20"/>
          <w:szCs w:val="20"/>
        </w:rPr>
      </w:pPr>
      <w:r>
        <w:rPr>
          <w:rFonts w:ascii="Times New Roman" w:eastAsia="宋体" w:hAnsi="Times New Roman" w:cs="Times New Roman" w:hint="eastAsia"/>
          <w:position w:val="-24"/>
          <w:sz w:val="20"/>
          <w:szCs w:val="20"/>
        </w:rPr>
        <w:object w:dxaOrig="1639" w:dyaOrig="631">
          <v:shape id="_x0000_i1046" type="#_x0000_t75" style="width:82pt;height:31.5pt" o:ole="">
            <v:imagedata r:id="rId36" o:title=""/>
          </v:shape>
          <o:OLEObject Type="Embed" ProgID="Equation.KSEE3" ShapeID="_x0000_i1046" DrawAspect="Content" ObjectID="_1697655886" r:id="rId37"/>
        </w:object>
      </w:r>
      <w:r>
        <w:rPr>
          <w:rFonts w:ascii="Times New Roman" w:hAnsi="Times New Roman" w:hint="eastAsia"/>
          <w:i/>
          <w:iCs/>
          <w:sz w:val="20"/>
          <w:szCs w:val="20"/>
        </w:rPr>
        <w:t>,</w:t>
      </w:r>
    </w:p>
    <w:p w:rsidR="00EA0F38" w:rsidRDefault="0096751C">
      <w:pPr>
        <w:spacing w:beforeLines="50" w:before="120" w:afterLines="50" w:after="120" w:line="240" w:lineRule="auto"/>
        <w:ind w:left="420"/>
        <w:jc w:val="both"/>
        <w:rPr>
          <w:rFonts w:ascii="Times New Roman" w:eastAsia="宋体" w:hAnsi="Times New Roman" w:cs="Times New Roman"/>
          <w:sz w:val="20"/>
          <w:szCs w:val="20"/>
        </w:rPr>
      </w:pPr>
      <w:proofErr w:type="gramStart"/>
      <w:r>
        <w:rPr>
          <w:rFonts w:ascii="Times New Roman" w:hAnsi="Times New Roman" w:hint="eastAsia"/>
          <w:i/>
          <w:iCs/>
          <w:sz w:val="20"/>
          <w:szCs w:val="20"/>
        </w:rPr>
        <w:t>where</w:t>
      </w:r>
      <w:proofErr w:type="gramEnd"/>
      <w:r>
        <w:rPr>
          <w:rFonts w:ascii="Times New Roman" w:hAnsi="Times New Roman" w:hint="eastAsia"/>
          <w:i/>
          <w:iCs/>
          <w:sz w:val="20"/>
          <w:szCs w:val="20"/>
        </w:rPr>
        <w:t xml:space="preserve"> </w:t>
      </w:r>
      <w:r>
        <w:rPr>
          <w:rFonts w:ascii="Times New Roman" w:eastAsia="宋体" w:hAnsi="Times New Roman" w:cs="Times New Roman" w:hint="eastAsia"/>
          <w:position w:val="-10"/>
          <w:sz w:val="20"/>
          <w:szCs w:val="20"/>
        </w:rPr>
        <w:object w:dxaOrig="277" w:dyaOrig="343">
          <v:shape id="_x0000_i1047" type="#_x0000_t75" style="width:14pt;height:17pt" o:ole="">
            <v:imagedata r:id="rId38" o:title=""/>
          </v:shape>
          <o:OLEObject Type="Embed" ProgID="Equation.KSEE3" ShapeID="_x0000_i1047" DrawAspect="Content" ObjectID="_1697655887" r:id="rId39"/>
        </w:object>
      </w:r>
      <w:r>
        <w:rPr>
          <w:rFonts w:ascii="Times New Roman" w:eastAsia="宋体" w:hAnsi="Times New Roman" w:cs="Times New Roman" w:hint="eastAsia"/>
          <w:position w:val="-14"/>
          <w:sz w:val="20"/>
          <w:szCs w:val="20"/>
        </w:rPr>
        <w:t xml:space="preserve"> </w:t>
      </w:r>
      <w:r>
        <w:rPr>
          <w:rFonts w:ascii="Times New Roman" w:hAnsi="Times New Roman" w:hint="eastAsia"/>
          <w:i/>
          <w:iCs/>
          <w:sz w:val="20"/>
          <w:szCs w:val="20"/>
        </w:rPr>
        <w:t>is the TAC filed received in msg2/</w:t>
      </w:r>
      <w:proofErr w:type="spellStart"/>
      <w:r>
        <w:rPr>
          <w:rFonts w:ascii="Times New Roman" w:hAnsi="Times New Roman" w:hint="eastAsia"/>
          <w:i/>
          <w:iCs/>
          <w:sz w:val="20"/>
          <w:szCs w:val="20"/>
        </w:rPr>
        <w:t>msgB</w:t>
      </w:r>
      <w:proofErr w:type="spellEnd"/>
      <w:r>
        <w:rPr>
          <w:rFonts w:ascii="Times New Roman" w:hAnsi="Times New Roman" w:hint="eastAsia"/>
          <w:i/>
          <w:iCs/>
          <w:sz w:val="20"/>
          <w:szCs w:val="20"/>
        </w:rPr>
        <w:t>.</w:t>
      </w:r>
    </w:p>
    <w:p w:rsidR="00EA0F38" w:rsidRDefault="0096751C">
      <w:pPr>
        <w:pStyle w:val="2"/>
        <w:numPr>
          <w:ilvl w:val="2"/>
          <w:numId w:val="8"/>
        </w:numPr>
        <w:rPr>
          <w:rFonts w:ascii="Times New Roman" w:eastAsia="宋体" w:hAnsi="Times New Roman" w:cs="Times New Roman"/>
          <w:sz w:val="24"/>
          <w:szCs w:val="24"/>
          <w:lang w:val="en-US"/>
        </w:rPr>
      </w:pPr>
      <w:r>
        <w:rPr>
          <w:rFonts w:ascii="Times New Roman" w:eastAsia="宋体" w:hAnsi="Times New Roman" w:cs="Times New Roman"/>
          <w:sz w:val="24"/>
          <w:szCs w:val="24"/>
          <w:lang w:val="en-US"/>
        </w:rPr>
        <w:t xml:space="preserve">Mechanism on TA </w:t>
      </w:r>
      <w:r>
        <w:rPr>
          <w:rFonts w:ascii="Times New Roman" w:eastAsia="宋体" w:hAnsi="Times New Roman" w:cs="Times New Roman" w:hint="eastAsia"/>
          <w:sz w:val="24"/>
          <w:szCs w:val="24"/>
          <w:lang w:val="en-US"/>
        </w:rPr>
        <w:t>calculation/</w:t>
      </w:r>
      <w:r>
        <w:rPr>
          <w:rFonts w:ascii="Times New Roman" w:eastAsia="宋体" w:hAnsi="Times New Roman" w:cs="Times New Roman"/>
          <w:sz w:val="24"/>
          <w:szCs w:val="24"/>
          <w:lang w:val="en-US"/>
        </w:rPr>
        <w:t xml:space="preserve">update with </w:t>
      </w:r>
      <w:r>
        <w:rPr>
          <w:rFonts w:ascii="Times New Roman" w:eastAsia="宋体" w:hAnsi="Times New Roman" w:cs="Times New Roman" w:hint="eastAsia"/>
          <w:position w:val="-14"/>
          <w:sz w:val="20"/>
          <w:szCs w:val="20"/>
        </w:rPr>
        <w:object w:dxaOrig="1185" w:dyaOrig="377">
          <v:shape id="_x0000_i1048" type="#_x0000_t75" style="width:59.5pt;height:19pt" o:ole="">
            <v:imagedata r:id="rId24" o:title=""/>
          </v:shape>
          <o:OLEObject Type="Embed" ProgID="Equation.KSEE3" ShapeID="_x0000_i1048" DrawAspect="Content" ObjectID="_1697655888" r:id="rId40"/>
        </w:object>
      </w:r>
    </w:p>
    <w:p w:rsidR="00EA0F38" w:rsidRDefault="0096751C">
      <w:p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position w:val="-14"/>
          <w:sz w:val="20"/>
          <w:szCs w:val="20"/>
        </w:rPr>
        <w:object w:dxaOrig="1185" w:dyaOrig="377">
          <v:shape id="_x0000_i1049" type="#_x0000_t75" style="width:59.5pt;height:19pt" o:ole="">
            <v:imagedata r:id="rId24" o:title=""/>
          </v:shape>
          <o:OLEObject Type="Embed" ProgID="Equation.KSEE3" ShapeID="_x0000_i1049" DrawAspect="Content" ObjectID="_1697655889" r:id="rId41"/>
        </w:object>
      </w:r>
      <w:r>
        <w:rPr>
          <w:rFonts w:ascii="Cambria Math" w:eastAsia="宋体" w:hAnsi="Cambria Math" w:cs="Times New Roman" w:hint="eastAsia"/>
          <w:sz w:val="20"/>
          <w:szCs w:val="20"/>
        </w:rPr>
        <w:t xml:space="preserve"> </w:t>
      </w:r>
      <w:proofErr w:type="gramStart"/>
      <w:r>
        <w:rPr>
          <w:rFonts w:ascii="Times New Roman" w:eastAsia="宋体" w:hAnsi="Times New Roman" w:cs="Times New Roman" w:hint="eastAsia"/>
          <w:sz w:val="20"/>
          <w:szCs w:val="20"/>
        </w:rPr>
        <w:t>is</w:t>
      </w:r>
      <w:proofErr w:type="gramEnd"/>
      <w:r>
        <w:rPr>
          <w:rFonts w:ascii="Times New Roman" w:eastAsia="宋体" w:hAnsi="Times New Roman" w:cs="Times New Roman" w:hint="eastAsia"/>
          <w:sz w:val="20"/>
          <w:szCs w:val="20"/>
        </w:rPr>
        <w:t xml:space="preserve"> service link TA</w:t>
      </w:r>
      <w:r>
        <w:rPr>
          <w:rFonts w:ascii="Times New Roman" w:eastAsia="宋体" w:hAnsi="Times New Roman" w:cs="Times New Roman"/>
          <w:sz w:val="20"/>
          <w:szCs w:val="20"/>
        </w:rPr>
        <w:t xml:space="preserve">, which </w:t>
      </w:r>
      <w:r>
        <w:rPr>
          <w:rFonts w:ascii="Times New Roman" w:eastAsia="宋体" w:hAnsi="Times New Roman" w:cs="Times New Roman" w:hint="eastAsia"/>
          <w:sz w:val="20"/>
          <w:szCs w:val="20"/>
        </w:rPr>
        <w:t>is open</w:t>
      </w:r>
      <w:r>
        <w:rPr>
          <w:rFonts w:ascii="Times New Roman" w:eastAsia="宋体" w:hAnsi="Times New Roman" w:cs="Times New Roman"/>
          <w:sz w:val="20"/>
          <w:szCs w:val="20"/>
        </w:rPr>
        <w:t>-</w:t>
      </w:r>
      <w:r>
        <w:rPr>
          <w:rFonts w:ascii="Times New Roman" w:eastAsia="宋体" w:hAnsi="Times New Roman" w:cs="Times New Roman" w:hint="eastAsia"/>
          <w:sz w:val="20"/>
          <w:szCs w:val="20"/>
        </w:rPr>
        <w:t>loop controlled by UE based on GNSS information of UE and ephemeris information of satellite indicated from BS</w:t>
      </w:r>
      <w:r>
        <w:rPr>
          <w:rFonts w:ascii="Times New Roman" w:eastAsia="宋体" w:hAnsi="Times New Roman" w:cs="Times New Roman"/>
          <w:sz w:val="20"/>
          <w:szCs w:val="20"/>
        </w:rPr>
        <w:t xml:space="preserve"> via implementation. In previous agreement, it has already agreed that the propagator at UE side is up to implementation</w:t>
      </w:r>
      <w:r>
        <w:rPr>
          <w:rFonts w:ascii="Times New Roman" w:eastAsia="宋体" w:hAnsi="Times New Roman" w:cs="Times New Roman" w:hint="eastAsia"/>
          <w:sz w:val="20"/>
          <w:szCs w:val="20"/>
        </w:rPr>
        <w:t xml:space="preserve">. Therefore, there is no need to </w:t>
      </w:r>
      <w:r>
        <w:rPr>
          <w:rFonts w:ascii="Times New Roman" w:eastAsia="宋体" w:hAnsi="Times New Roman" w:cs="Times New Roman"/>
          <w:sz w:val="20"/>
          <w:szCs w:val="20"/>
        </w:rPr>
        <w:t xml:space="preserve">further restrict the UE’s behavior during the calculation </w:t>
      </w:r>
      <w:proofErr w:type="gramStart"/>
      <w:r>
        <w:rPr>
          <w:rFonts w:ascii="Times New Roman" w:eastAsia="宋体" w:hAnsi="Times New Roman" w:cs="Times New Roman"/>
          <w:sz w:val="20"/>
          <w:szCs w:val="20"/>
        </w:rPr>
        <w:t xml:space="preserve">of </w:t>
      </w:r>
      <w:proofErr w:type="gramEnd"/>
      <w:r>
        <w:rPr>
          <w:rFonts w:ascii="Times New Roman" w:eastAsia="宋体" w:hAnsi="Times New Roman" w:cs="Times New Roman" w:hint="eastAsia"/>
          <w:position w:val="-14"/>
          <w:sz w:val="20"/>
          <w:szCs w:val="20"/>
        </w:rPr>
        <w:object w:dxaOrig="1185" w:dyaOrig="377">
          <v:shape id="_x0000_i1050" type="#_x0000_t75" style="width:59.5pt;height:19pt" o:ole="">
            <v:imagedata r:id="rId24" o:title=""/>
          </v:shape>
          <o:OLEObject Type="Embed" ProgID="Equation.KSEE3" ShapeID="_x0000_i1050" DrawAspect="Content" ObjectID="_1697655890" r:id="rId42"/>
        </w:object>
      </w:r>
      <w:r>
        <w:rPr>
          <w:rFonts w:ascii="Times New Roman" w:eastAsia="宋体" w:hAnsi="Times New Roman" w:cs="Times New Roman"/>
          <w:sz w:val="20"/>
          <w:szCs w:val="20"/>
        </w:rPr>
        <w:t xml:space="preserve">. </w:t>
      </w:r>
    </w:p>
    <w:p w:rsidR="00EA0F38" w:rsidRDefault="0096751C">
      <w:pPr>
        <w:spacing w:beforeLines="50" w:before="120" w:afterLines="50" w:after="120" w:line="240" w:lineRule="auto"/>
        <w:ind w:left="420"/>
        <w:jc w:val="both"/>
        <w:rPr>
          <w:rFonts w:ascii="Times New Roman" w:eastAsia="宋体" w:hAnsi="Times New Roman" w:cs="Times New Roman"/>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6: </w:t>
      </w:r>
      <w:r>
        <w:rPr>
          <w:rFonts w:ascii="Times New Roman" w:eastAsia="宋体" w:hAnsi="Times New Roman" w:cs="Times New Roman" w:hint="eastAsia"/>
          <w:position w:val="-14"/>
          <w:sz w:val="20"/>
          <w:szCs w:val="20"/>
        </w:rPr>
        <w:object w:dxaOrig="1185" w:dyaOrig="377">
          <v:shape id="_x0000_i1051" type="#_x0000_t75" style="width:59.5pt;height:19pt" o:ole="">
            <v:imagedata r:id="rId24" o:title=""/>
          </v:shape>
          <o:OLEObject Type="Embed" ProgID="Equation.KSEE3" ShapeID="_x0000_i1051" DrawAspect="Content" ObjectID="_1697655891" r:id="rId43"/>
        </w:object>
      </w:r>
      <w:r>
        <w:rPr>
          <w:rFonts w:ascii="Times New Roman" w:eastAsia="宋体" w:hAnsi="Times New Roman" w:hint="eastAsia"/>
          <w:bCs/>
          <w:i/>
          <w:sz w:val="20"/>
          <w:szCs w:val="20"/>
        </w:rPr>
        <w:t xml:space="preserve"> is calculated/updated autonomously by the UE based on its GNSS acquired position and satellite ephemeris via implementation.</w:t>
      </w:r>
    </w:p>
    <w:p w:rsidR="00EA0F38" w:rsidRDefault="0096751C">
      <w:pPr>
        <w:pStyle w:val="2"/>
        <w:numPr>
          <w:ilvl w:val="2"/>
          <w:numId w:val="8"/>
        </w:numPr>
        <w:rPr>
          <w:rFonts w:ascii="Times New Roman" w:eastAsia="宋体" w:hAnsi="Times New Roman" w:cs="Times New Roman"/>
          <w:sz w:val="24"/>
          <w:szCs w:val="24"/>
          <w:lang w:val="en-US"/>
        </w:rPr>
      </w:pPr>
      <w:r>
        <w:rPr>
          <w:rFonts w:ascii="Times New Roman" w:eastAsia="宋体" w:hAnsi="Times New Roman" w:cs="Times New Roman"/>
          <w:sz w:val="24"/>
          <w:szCs w:val="24"/>
          <w:lang w:val="en-US"/>
        </w:rPr>
        <w:t xml:space="preserve">Mechanism on TA </w:t>
      </w:r>
      <w:r>
        <w:rPr>
          <w:rFonts w:ascii="Times New Roman" w:eastAsia="宋体" w:hAnsi="Times New Roman" w:cs="Times New Roman" w:hint="eastAsia"/>
          <w:sz w:val="24"/>
          <w:szCs w:val="24"/>
          <w:lang w:val="en-US"/>
        </w:rPr>
        <w:t>calculation/</w:t>
      </w:r>
      <w:r>
        <w:rPr>
          <w:rFonts w:ascii="Times New Roman" w:eastAsia="宋体" w:hAnsi="Times New Roman" w:cs="Times New Roman"/>
          <w:sz w:val="24"/>
          <w:szCs w:val="24"/>
          <w:lang w:val="en-US"/>
        </w:rPr>
        <w:t>update</w:t>
      </w:r>
      <w:r>
        <w:rPr>
          <w:rFonts w:ascii="Times New Roman" w:eastAsia="宋体" w:hAnsi="Times New Roman" w:cs="Times New Roman" w:hint="eastAsia"/>
          <w:sz w:val="24"/>
          <w:szCs w:val="24"/>
          <w:lang w:val="en-US"/>
        </w:rPr>
        <w:t xml:space="preserve"> </w:t>
      </w:r>
      <w:r>
        <w:rPr>
          <w:rFonts w:ascii="Times New Roman" w:eastAsia="宋体" w:hAnsi="Times New Roman" w:cs="Times New Roman"/>
          <w:sz w:val="24"/>
          <w:szCs w:val="24"/>
          <w:lang w:val="en-US"/>
        </w:rPr>
        <w:t xml:space="preserve">with </w:t>
      </w:r>
      <w:r>
        <w:rPr>
          <w:rFonts w:ascii="Times New Roman" w:eastAsia="宋体" w:hAnsi="Times New Roman" w:cs="Times New Roman" w:hint="eastAsia"/>
          <w:position w:val="-14"/>
          <w:sz w:val="20"/>
          <w:szCs w:val="20"/>
        </w:rPr>
        <w:object w:dxaOrig="942" w:dyaOrig="377">
          <v:shape id="_x0000_i1052" type="#_x0000_t75" style="width:47pt;height:19pt" o:ole="">
            <v:imagedata r:id="rId26" o:title=""/>
          </v:shape>
          <o:OLEObject Type="Embed" ProgID="Equation.KSEE3" ShapeID="_x0000_i1052" DrawAspect="Content" ObjectID="_1697655892" r:id="rId44"/>
        </w:object>
      </w:r>
    </w:p>
    <w:p w:rsidR="00EA0F38" w:rsidRDefault="0096751C">
      <w:p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position w:val="-14"/>
          <w:sz w:val="20"/>
          <w:szCs w:val="20"/>
        </w:rPr>
        <w:object w:dxaOrig="942" w:dyaOrig="377">
          <v:shape id="_x0000_i1053" type="#_x0000_t75" style="width:47pt;height:19pt" o:ole="">
            <v:imagedata r:id="rId26" o:title=""/>
          </v:shape>
          <o:OLEObject Type="Embed" ProgID="Equation.KSEE3" ShapeID="_x0000_i1053" DrawAspect="Content" ObjectID="_1697655893" r:id="rId45"/>
        </w:object>
      </w:r>
      <w:r>
        <w:rPr>
          <w:rFonts w:ascii="Times New Roman" w:eastAsia="宋体" w:hAnsi="Times New Roman" w:cs="Times New Roman" w:hint="eastAsia"/>
          <w:sz w:val="20"/>
          <w:szCs w:val="20"/>
        </w:rPr>
        <w:t xml:space="preserve"> </w:t>
      </w:r>
      <w:proofErr w:type="gramStart"/>
      <w:r>
        <w:rPr>
          <w:rFonts w:ascii="Times New Roman" w:eastAsia="宋体" w:hAnsi="Times New Roman" w:cs="Times New Roman" w:hint="eastAsia"/>
          <w:sz w:val="20"/>
          <w:szCs w:val="20"/>
        </w:rPr>
        <w:t>is</w:t>
      </w:r>
      <w:proofErr w:type="gramEnd"/>
      <w:r>
        <w:rPr>
          <w:rFonts w:ascii="Times New Roman" w:eastAsia="宋体" w:hAnsi="Times New Roman" w:cs="Times New Roman" w:hint="eastAsia"/>
          <w:sz w:val="20"/>
          <w:szCs w:val="20"/>
        </w:rPr>
        <w:t xml:space="preserve"> common TA indicated from BS and can be open loop adjusted based on common TA </w:t>
      </w:r>
      <w:r>
        <w:rPr>
          <w:rFonts w:ascii="Times New Roman" w:eastAsia="宋体" w:hAnsi="Times New Roman" w:cs="Times New Roman"/>
          <w:sz w:val="20"/>
          <w:szCs w:val="20"/>
        </w:rPr>
        <w:t>parameters, e.g., 1</w:t>
      </w:r>
      <w:r>
        <w:rPr>
          <w:rFonts w:ascii="Times New Roman" w:eastAsia="宋体" w:hAnsi="Times New Roman" w:cs="Times New Roman"/>
          <w:sz w:val="20"/>
          <w:szCs w:val="20"/>
          <w:vertAlign w:val="superscript"/>
        </w:rPr>
        <w:t>st</w:t>
      </w:r>
      <w:r>
        <w:rPr>
          <w:rFonts w:ascii="Times New Roman" w:eastAsia="宋体" w:hAnsi="Times New Roman" w:cs="Times New Roman"/>
          <w:sz w:val="20"/>
          <w:szCs w:val="20"/>
        </w:rPr>
        <w:t xml:space="preserve"> and 2</w:t>
      </w:r>
      <w:r>
        <w:rPr>
          <w:rFonts w:ascii="Times New Roman" w:eastAsia="宋体" w:hAnsi="Times New Roman" w:cs="Times New Roman"/>
          <w:sz w:val="20"/>
          <w:szCs w:val="20"/>
          <w:vertAlign w:val="superscript"/>
        </w:rPr>
        <w:t>nd</w:t>
      </w:r>
      <w:r>
        <w:rPr>
          <w:rFonts w:ascii="Times New Roman" w:eastAsia="宋体" w:hAnsi="Times New Roman" w:cs="Times New Roman"/>
          <w:sz w:val="20"/>
          <w:szCs w:val="20"/>
        </w:rPr>
        <w:t xml:space="preserve"> order </w:t>
      </w:r>
      <w:r>
        <w:rPr>
          <w:rFonts w:ascii="Times New Roman" w:eastAsia="宋体" w:hAnsi="Times New Roman" w:cs="Times New Roman" w:hint="eastAsia"/>
          <w:sz w:val="20"/>
          <w:szCs w:val="20"/>
        </w:rPr>
        <w:t xml:space="preserve">drift rate. </w:t>
      </w:r>
      <w:r>
        <w:rPr>
          <w:rFonts w:ascii="Times New Roman" w:eastAsia="宋体" w:hAnsi="Times New Roman" w:cs="Times New Roman"/>
          <w:sz w:val="20"/>
          <w:szCs w:val="20"/>
        </w:rPr>
        <w:t xml:space="preserve">Regarding the </w:t>
      </w:r>
      <w:r>
        <w:rPr>
          <w:rFonts w:ascii="Times New Roman" w:eastAsia="宋体" w:hAnsi="Times New Roman" w:cs="Times New Roman" w:hint="eastAsia"/>
          <w:sz w:val="20"/>
          <w:szCs w:val="20"/>
        </w:rPr>
        <w:t>calculation of common TA, it is reasonable to consider the offset between receiving DL scheduling signal and transmitting UL data</w:t>
      </w:r>
      <w:r>
        <w:rPr>
          <w:rFonts w:ascii="Times New Roman" w:eastAsia="宋体" w:hAnsi="Times New Roman" w:cs="Times New Roman"/>
          <w:sz w:val="20"/>
          <w:szCs w:val="20"/>
        </w:rPr>
        <w:t xml:space="preserve"> with impacts of changes of propagation delay</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As the </w:t>
      </w:r>
      <w:r>
        <w:rPr>
          <w:rFonts w:ascii="Times New Roman" w:eastAsia="宋体" w:hAnsi="Times New Roman" w:cs="Times New Roman" w:hint="eastAsia"/>
          <w:sz w:val="20"/>
          <w:szCs w:val="20"/>
        </w:rPr>
        <w:t xml:space="preserve">example of the timeline for the usage of parameters for TA maintenance shown </w:t>
      </w:r>
      <w:r>
        <w:rPr>
          <w:rFonts w:ascii="Times New Roman" w:eastAsia="宋体" w:hAnsi="Times New Roman" w:cs="Times New Roman"/>
          <w:sz w:val="20"/>
          <w:szCs w:val="20"/>
        </w:rPr>
        <w:t xml:space="preserve">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_Ref83729857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Figure 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b</w:t>
      </w:r>
      <w:r>
        <w:rPr>
          <w:rFonts w:ascii="Times New Roman" w:eastAsia="宋体" w:hAnsi="Times New Roman" w:cs="Times New Roman" w:hint="eastAsia"/>
          <w:sz w:val="20"/>
          <w:szCs w:val="20"/>
        </w:rPr>
        <w:t xml:space="preserve">efore receiving DL signal, both DL delay and UL delay change, so that the full common TA drift rate should be counted. While after receiving DL signal and before transmitting UL signal, only the UL delay will change so that half of the common TA drift rate should be counted. With this consideration, UE should determine </w:t>
      </w:r>
      <w:r>
        <w:rPr>
          <w:rFonts w:ascii="Times New Roman" w:eastAsia="宋体" w:hAnsi="Times New Roman" w:cs="Times New Roman" w:hint="eastAsia"/>
          <w:position w:val="-14"/>
          <w:sz w:val="20"/>
          <w:szCs w:val="20"/>
        </w:rPr>
        <w:object w:dxaOrig="942" w:dyaOrig="377">
          <v:shape id="_x0000_i1054" type="#_x0000_t75" style="width:47pt;height:19pt" o:ole="">
            <v:imagedata r:id="rId26" o:title=""/>
          </v:shape>
          <o:OLEObject Type="Embed" ProgID="Equation.KSEE3" ShapeID="_x0000_i1054" DrawAspect="Content" ObjectID="_1697655894" r:id="rId46"/>
        </w:object>
      </w:r>
      <w:r>
        <w:rPr>
          <w:rFonts w:ascii="Times New Roman" w:eastAsia="宋体" w:hAnsi="Times New Roman" w:cs="Times New Roman" w:hint="eastAsia"/>
          <w:position w:val="-14"/>
          <w:sz w:val="20"/>
          <w:szCs w:val="20"/>
        </w:rPr>
        <w:t xml:space="preserve"> </w:t>
      </w:r>
      <w:r>
        <w:rPr>
          <w:rFonts w:ascii="Times New Roman" w:eastAsia="宋体" w:hAnsi="Times New Roman" w:cs="Times New Roman" w:hint="eastAsia"/>
          <w:sz w:val="20"/>
          <w:szCs w:val="20"/>
        </w:rPr>
        <w:t xml:space="preserve">based on common TA parameters, epoch time of common TA, DL transmission time of scheduling information, and UL transmission time in RRC_CONNECTED state. While for initial access in RRC_IDLE state, since there is no scheduling information for PRACH, the DL transmission time is not needed to be considered. </w:t>
      </w:r>
      <w:r>
        <w:rPr>
          <w:rFonts w:ascii="Times New Roman" w:eastAsia="宋体" w:hAnsi="Times New Roman" w:cs="Times New Roman"/>
          <w:sz w:val="20"/>
          <w:szCs w:val="20"/>
        </w:rPr>
        <w:t xml:space="preserve">Based on the agreed parameters in last meeting, the above consideration on the </w:t>
      </w:r>
      <w:r>
        <w:rPr>
          <w:rFonts w:ascii="Times New Roman" w:eastAsia="宋体" w:hAnsi="Times New Roman" w:cs="Times New Roman" w:hint="eastAsia"/>
          <w:sz w:val="20"/>
          <w:szCs w:val="20"/>
        </w:rPr>
        <w:t>calculat</w:t>
      </w:r>
      <w:r>
        <w:rPr>
          <w:rFonts w:ascii="Times New Roman" w:eastAsia="宋体" w:hAnsi="Times New Roman" w:cs="Times New Roman"/>
          <w:sz w:val="20"/>
          <w:szCs w:val="20"/>
        </w:rPr>
        <w:t xml:space="preserve">ion of </w:t>
      </w:r>
      <w:r>
        <w:rPr>
          <w:rFonts w:ascii="Times New Roman" w:eastAsia="宋体" w:hAnsi="Times New Roman" w:cs="Times New Roman" w:hint="eastAsia"/>
          <w:position w:val="-14"/>
          <w:sz w:val="20"/>
          <w:szCs w:val="20"/>
        </w:rPr>
        <w:object w:dxaOrig="942" w:dyaOrig="377">
          <v:shape id="_x0000_i1055" type="#_x0000_t75" style="width:47pt;height:19pt" o:ole="">
            <v:imagedata r:id="rId26" o:title=""/>
          </v:shape>
          <o:OLEObject Type="Embed" ProgID="Equation.KSEE3" ShapeID="_x0000_i1055" DrawAspect="Content" ObjectID="_1697655895" r:id="rId47"/>
        </w:object>
      </w:r>
      <w:r>
        <w:rPr>
          <w:rFonts w:ascii="Times New Roman" w:eastAsia="宋体" w:hAnsi="Times New Roman" w:cs="Times New Roman" w:hint="eastAsia"/>
          <w:sz w:val="20"/>
          <w:szCs w:val="20"/>
        </w:rPr>
        <w:t xml:space="preserve"> can be left to UE implementation.</w:t>
      </w:r>
    </w:p>
    <w:p w:rsidR="00EA0F38" w:rsidRDefault="0096751C">
      <w:pPr>
        <w:keepNext/>
        <w:spacing w:after="120"/>
        <w:ind w:leftChars="200" w:left="440"/>
        <w:jc w:val="center"/>
      </w:pPr>
      <w:r>
        <w:rPr>
          <w:noProof/>
        </w:rPr>
        <w:lastRenderedPageBreak/>
        <w:drawing>
          <wp:inline distT="0" distB="0" distL="114300" distR="114300">
            <wp:extent cx="5716270" cy="1544320"/>
            <wp:effectExtent l="0" t="0" r="17780" b="17780"/>
            <wp:docPr id="34"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88"/>
                    <pic:cNvPicPr>
                      <a:picLocks noChangeAspect="1"/>
                    </pic:cNvPicPr>
                  </pic:nvPicPr>
                  <pic:blipFill>
                    <a:blip r:embed="rId48"/>
                    <a:stretch>
                      <a:fillRect/>
                    </a:stretch>
                  </pic:blipFill>
                  <pic:spPr>
                    <a:xfrm>
                      <a:off x="0" y="0"/>
                      <a:ext cx="5716270" cy="1544320"/>
                    </a:xfrm>
                    <a:prstGeom prst="rect">
                      <a:avLst/>
                    </a:prstGeom>
                    <a:noFill/>
                    <a:ln>
                      <a:noFill/>
                    </a:ln>
                  </pic:spPr>
                </pic:pic>
              </a:graphicData>
            </a:graphic>
          </wp:inline>
        </w:drawing>
      </w:r>
    </w:p>
    <w:p w:rsidR="00EA0F38" w:rsidRDefault="0096751C">
      <w:pPr>
        <w:pStyle w:val="a3"/>
        <w:rPr>
          <w:b w:val="0"/>
        </w:rPr>
      </w:pPr>
      <w:bookmarkStart w:id="8" w:name="_Ref83729857"/>
      <w:r>
        <w:rPr>
          <w:b w:val="0"/>
        </w:rPr>
        <w:t xml:space="preserve">Figure </w:t>
      </w:r>
      <w:r>
        <w:rPr>
          <w:b w:val="0"/>
        </w:rPr>
        <w:fldChar w:fldCharType="begin"/>
      </w:r>
      <w:r>
        <w:rPr>
          <w:b w:val="0"/>
        </w:rPr>
        <w:instrText xml:space="preserve"> SEQ Figure \* ARABIC </w:instrText>
      </w:r>
      <w:r>
        <w:rPr>
          <w:b w:val="0"/>
        </w:rPr>
        <w:fldChar w:fldCharType="separate"/>
      </w:r>
      <w:r>
        <w:rPr>
          <w:b w:val="0"/>
        </w:rPr>
        <w:t>1</w:t>
      </w:r>
      <w:r>
        <w:rPr>
          <w:b w:val="0"/>
        </w:rPr>
        <w:fldChar w:fldCharType="end"/>
      </w:r>
      <w:bookmarkEnd w:id="8"/>
      <w:r>
        <w:rPr>
          <w:b w:val="0"/>
        </w:rPr>
        <w:t xml:space="preserve"> </w:t>
      </w:r>
      <w:r>
        <w:rPr>
          <w:rFonts w:hint="eastAsia"/>
          <w:b w:val="0"/>
          <w:bCs w:val="0"/>
          <w:lang w:val="en-US"/>
        </w:rPr>
        <w:t xml:space="preserve">Timeline for usage of indicated parameters </w:t>
      </w:r>
    </w:p>
    <w:p w:rsidR="00EA0F38" w:rsidRDefault="0096751C">
      <w:pPr>
        <w:pStyle w:val="ad"/>
        <w:numPr>
          <w:ilvl w:val="3"/>
          <w:numId w:val="0"/>
        </w:numPr>
        <w:spacing w:after="0" w:line="240" w:lineRule="auto"/>
        <w:ind w:leftChars="200" w:left="440"/>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7: </w:t>
      </w:r>
      <w:r>
        <w:rPr>
          <w:rFonts w:ascii="Times New Roman" w:eastAsia="宋体" w:hAnsi="Times New Roman" w:hint="eastAsia"/>
          <w:bCs/>
          <w:i/>
          <w:sz w:val="20"/>
          <w:szCs w:val="20"/>
        </w:rPr>
        <w:t>In RRC_IDLE,</w:t>
      </w:r>
      <w:r>
        <w:rPr>
          <w:rFonts w:ascii="Times New Roman" w:eastAsia="宋体" w:hAnsi="Times New Roman" w:hint="eastAsia"/>
          <w:b/>
          <w:i/>
          <w:sz w:val="20"/>
          <w:szCs w:val="20"/>
        </w:rPr>
        <w:t xml:space="preserve"> </w:t>
      </w:r>
      <w:r>
        <w:rPr>
          <w:rFonts w:ascii="Times New Roman" w:eastAsia="宋体" w:hAnsi="Times New Roman" w:cs="Times New Roman" w:hint="eastAsia"/>
          <w:position w:val="-14"/>
          <w:sz w:val="20"/>
          <w:szCs w:val="20"/>
        </w:rPr>
        <w:object w:dxaOrig="942" w:dyaOrig="377">
          <v:shape id="_x0000_i1056" type="#_x0000_t75" style="width:47pt;height:19pt" o:ole="">
            <v:imagedata r:id="rId26" o:title=""/>
          </v:shape>
          <o:OLEObject Type="Embed" ProgID="Equation.KSEE3" ShapeID="_x0000_i1056" DrawAspect="Content" ObjectID="_1697655896" r:id="rId49"/>
        </w:object>
      </w:r>
      <w:r>
        <w:rPr>
          <w:rFonts w:ascii="Times New Roman" w:eastAsia="宋体" w:hAnsi="Times New Roman" w:hint="eastAsia"/>
          <w:bCs/>
          <w:i/>
          <w:sz w:val="20"/>
          <w:szCs w:val="20"/>
        </w:rPr>
        <w:t xml:space="preserve"> is calculated/updated autonomously by the UE based on common TA parameters, epoch time of common TA, and UL transmission time via implementation. </w:t>
      </w:r>
    </w:p>
    <w:p w:rsidR="00EA0F38" w:rsidRDefault="0096751C">
      <w:pPr>
        <w:pStyle w:val="ad"/>
        <w:numPr>
          <w:ilvl w:val="3"/>
          <w:numId w:val="0"/>
        </w:numPr>
        <w:spacing w:after="0" w:line="240" w:lineRule="auto"/>
        <w:ind w:leftChars="200" w:left="440"/>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8: </w:t>
      </w:r>
      <w:r>
        <w:rPr>
          <w:rFonts w:ascii="Times New Roman" w:eastAsia="宋体" w:hAnsi="Times New Roman" w:hint="eastAsia"/>
          <w:bCs/>
          <w:i/>
          <w:sz w:val="20"/>
          <w:szCs w:val="20"/>
        </w:rPr>
        <w:t>In RRC_CONNECTED,</w:t>
      </w:r>
      <w:r>
        <w:rPr>
          <w:rFonts w:ascii="Times New Roman" w:eastAsia="宋体" w:hAnsi="Times New Roman" w:hint="eastAsia"/>
          <w:b/>
          <w:i/>
          <w:sz w:val="20"/>
          <w:szCs w:val="20"/>
        </w:rPr>
        <w:t xml:space="preserve"> </w:t>
      </w:r>
      <w:r>
        <w:rPr>
          <w:rFonts w:ascii="Times New Roman" w:eastAsia="宋体" w:hAnsi="Times New Roman" w:cs="Times New Roman" w:hint="eastAsia"/>
          <w:position w:val="-14"/>
          <w:sz w:val="20"/>
          <w:szCs w:val="20"/>
        </w:rPr>
        <w:object w:dxaOrig="942" w:dyaOrig="377">
          <v:shape id="_x0000_i1057" type="#_x0000_t75" style="width:47pt;height:19pt" o:ole="">
            <v:imagedata r:id="rId26" o:title=""/>
          </v:shape>
          <o:OLEObject Type="Embed" ProgID="Equation.KSEE3" ShapeID="_x0000_i1057" DrawAspect="Content" ObjectID="_1697655897" r:id="rId50"/>
        </w:object>
      </w:r>
      <w:r>
        <w:rPr>
          <w:rFonts w:ascii="Times New Roman" w:eastAsia="宋体" w:hAnsi="Times New Roman" w:hint="eastAsia"/>
          <w:bCs/>
          <w:i/>
          <w:sz w:val="20"/>
          <w:szCs w:val="20"/>
        </w:rPr>
        <w:t xml:space="preserve"> is calculated/updated autonomously by the UE based on common TA parameters, epoch time of common TA, DL transmission time of scheduling information, and UL transmission time via implementation. </w:t>
      </w:r>
    </w:p>
    <w:p w:rsidR="00EA0F38" w:rsidRDefault="0096751C">
      <w:pPr>
        <w:pStyle w:val="2"/>
        <w:numPr>
          <w:ilvl w:val="2"/>
          <w:numId w:val="8"/>
        </w:numPr>
        <w:rPr>
          <w:rFonts w:ascii="Times New Roman" w:eastAsia="宋体" w:hAnsi="Times New Roman" w:cs="Times New Roman"/>
          <w:sz w:val="24"/>
          <w:szCs w:val="24"/>
          <w:lang w:val="en-US"/>
        </w:rPr>
      </w:pPr>
      <w:r>
        <w:rPr>
          <w:rFonts w:ascii="Times New Roman" w:eastAsia="宋体" w:hAnsi="Times New Roman" w:cs="Times New Roman"/>
          <w:sz w:val="24"/>
          <w:szCs w:val="24"/>
          <w:lang w:val="en-US"/>
        </w:rPr>
        <w:t xml:space="preserve">Mechanism on TA updates to avoid duplicated correction </w:t>
      </w:r>
    </w:p>
    <w:p w:rsidR="00EA0F38" w:rsidRDefault="0096751C">
      <w:pPr>
        <w:numPr>
          <w:ilvl w:val="3"/>
          <w:numId w:val="0"/>
        </w:numPr>
        <w:spacing w:beforeLines="50" w:before="120" w:after="120" w:line="240" w:lineRule="auto"/>
        <w:ind w:leftChars="200" w:left="440"/>
        <w:rPr>
          <w:rFonts w:ascii="Times New Roman" w:hAnsi="Times New Roman" w:cs="Times New Roman"/>
          <w:sz w:val="20"/>
          <w:szCs w:val="20"/>
        </w:rPr>
      </w:pPr>
      <w:r>
        <w:rPr>
          <w:rFonts w:ascii="Times New Roman" w:eastAsia="宋体" w:hAnsi="Times New Roman" w:cs="Times New Roman" w:hint="eastAsia"/>
          <w:sz w:val="20"/>
          <w:szCs w:val="20"/>
        </w:rPr>
        <w:t xml:space="preserve">In RAN1#106b-e, how to handle double correction in the combination of closed and open loop TA control has been discussed. An LS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_Ref71537093 \r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[3]</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was sent to RAN4 asking whether the legacy gradual timing adjustment mechanism can be applied to mitigate the TA jump due to double correction. If RAN4 replies that gradual timing adjustment is applicable, this issue can be left up to RAN4. If not, the jump of open loop controlled TA, i.e., </w:t>
      </w:r>
      <w:r>
        <w:rPr>
          <w:rFonts w:ascii="Times New Roman" w:eastAsia="宋体" w:hAnsi="Times New Roman" w:cs="Times New Roman" w:hint="eastAsia"/>
          <w:position w:val="-14"/>
          <w:sz w:val="20"/>
          <w:szCs w:val="20"/>
        </w:rPr>
        <w:object w:dxaOrig="953" w:dyaOrig="377">
          <v:shape id="_x0000_i1058" type="#_x0000_t75" style="width:47.5pt;height:19pt" o:ole="">
            <v:imagedata r:id="rId51" o:title=""/>
          </v:shape>
          <o:OLEObject Type="Embed" ProgID="Equation.KSEE3" ShapeID="_x0000_i1058" DrawAspect="Content" ObjectID="_1697655898" r:id="rId52"/>
        </w:object>
      </w:r>
      <w:r>
        <w:rPr>
          <w:rFonts w:ascii="Times New Roman" w:eastAsia="宋体" w:hAnsi="Times New Roman" w:cs="Times New Roman" w:hint="eastAsia"/>
          <w:position w:val="-14"/>
          <w:sz w:val="20"/>
          <w:szCs w:val="20"/>
        </w:rPr>
        <w:t xml:space="preserve"> </w:t>
      </w:r>
      <w:proofErr w:type="gramStart"/>
      <w:r>
        <w:rPr>
          <w:rFonts w:ascii="Times New Roman" w:eastAsia="宋体" w:hAnsi="Times New Roman" w:cs="Times New Roman" w:hint="eastAsia"/>
          <w:sz w:val="20"/>
          <w:szCs w:val="20"/>
        </w:rPr>
        <w:t xml:space="preserve">and </w:t>
      </w:r>
      <w:proofErr w:type="gramEnd"/>
      <w:r>
        <w:rPr>
          <w:rFonts w:ascii="Times New Roman" w:eastAsia="宋体" w:hAnsi="Times New Roman" w:cs="Times New Roman" w:hint="eastAsia"/>
          <w:position w:val="-14"/>
          <w:sz w:val="20"/>
          <w:szCs w:val="20"/>
        </w:rPr>
        <w:object w:dxaOrig="1185" w:dyaOrig="377">
          <v:shape id="_x0000_i1059" type="#_x0000_t75" style="width:59.5pt;height:19pt" o:ole="">
            <v:imagedata r:id="rId53" o:title=""/>
          </v:shape>
          <o:OLEObject Type="Embed" ProgID="Equation.KSEE3" ShapeID="_x0000_i1059" DrawAspect="Content" ObjectID="_1697655899" r:id="rId54"/>
        </w:object>
      </w:r>
      <w:r>
        <w:rPr>
          <w:rFonts w:ascii="Times New Roman" w:eastAsia="宋体" w:hAnsi="Times New Roman" w:cs="Times New Roman" w:hint="eastAsia"/>
          <w:sz w:val="20"/>
          <w:szCs w:val="20"/>
        </w:rPr>
        <w:t xml:space="preserve">, can be subtracted from the accumulative closed loop TA </w:t>
      </w:r>
      <w:r>
        <w:rPr>
          <w:rFonts w:ascii="Times New Roman" w:eastAsia="宋体" w:hAnsi="Times New Roman" w:cs="Times New Roman" w:hint="eastAsia"/>
          <w:position w:val="-10"/>
          <w:sz w:val="20"/>
          <w:szCs w:val="20"/>
        </w:rPr>
        <w:object w:dxaOrig="421" w:dyaOrig="343">
          <v:shape id="_x0000_i1060" type="#_x0000_t75" style="width:21pt;height:17pt" o:ole="">
            <v:imagedata r:id="rId22" o:title=""/>
          </v:shape>
          <o:OLEObject Type="Embed" ProgID="Equation.KSEE3" ShapeID="_x0000_i1060" DrawAspect="Content" ObjectID="_1697655900" r:id="rId55"/>
        </w:object>
      </w:r>
      <w:r>
        <w:rPr>
          <w:rFonts w:ascii="Times New Roman" w:eastAsia="宋体" w:hAnsi="Times New Roman" w:cs="Times New Roman" w:hint="eastAsia"/>
          <w:position w:val="-10"/>
          <w:sz w:val="20"/>
          <w:szCs w:val="20"/>
        </w:rPr>
        <w:t xml:space="preserve"> </w:t>
      </w:r>
      <w:r>
        <w:rPr>
          <w:rFonts w:ascii="Times New Roman" w:eastAsia="宋体" w:hAnsi="Times New Roman" w:cs="Times New Roman" w:hint="eastAsia"/>
          <w:sz w:val="20"/>
          <w:szCs w:val="20"/>
        </w:rPr>
        <w:t>to avoid the jump of overall TA.</w:t>
      </w:r>
      <w:r>
        <w:rPr>
          <w:rStyle w:val="ac"/>
          <w:rFonts w:hint="eastAsia"/>
        </w:rPr>
        <w:t xml:space="preserve"> </w:t>
      </w:r>
      <w:r>
        <w:rPr>
          <w:rFonts w:ascii="Times New Roman" w:eastAsia="宋体" w:hAnsi="Times New Roman" w:cs="Times New Roman" w:hint="eastAsia"/>
          <w:sz w:val="20"/>
          <w:szCs w:val="20"/>
        </w:rPr>
        <w:t xml:space="preserve">More specifically, when UE determines new UE specific TA </w:t>
      </w:r>
      <w:r>
        <w:rPr>
          <w:rFonts w:ascii="Times New Roman" w:eastAsia="宋体" w:hAnsi="Times New Roman" w:cs="Times New Roman" w:hint="eastAsia"/>
          <w:position w:val="-14"/>
          <w:sz w:val="20"/>
          <w:szCs w:val="20"/>
        </w:rPr>
        <w:object w:dxaOrig="1453" w:dyaOrig="376">
          <v:shape id="_x0000_i1061" type="#_x0000_t75" style="width:72.5pt;height:19pt" o:ole="">
            <v:imagedata r:id="rId56" o:title=""/>
          </v:shape>
          <o:OLEObject Type="Embed" ProgID="Equation.KSEE3" ShapeID="_x0000_i1061" DrawAspect="Content" ObjectID="_1697655901" r:id="rId57"/>
        </w:object>
      </w:r>
      <w:r>
        <w:rPr>
          <w:rFonts w:ascii="Times New Roman" w:eastAsia="宋体" w:hAnsi="Times New Roman" w:cs="Times New Roman" w:hint="eastAsia"/>
          <w:sz w:val="20"/>
          <w:szCs w:val="20"/>
        </w:rPr>
        <w:t xml:space="preserve"> based on newly obtained GNSS position and/or ephemeris, UE could subtract the difference between new value </w:t>
      </w:r>
      <w:r>
        <w:rPr>
          <w:rFonts w:ascii="Times New Roman" w:eastAsia="宋体" w:hAnsi="Times New Roman" w:cs="Times New Roman" w:hint="eastAsia"/>
          <w:position w:val="-14"/>
          <w:sz w:val="20"/>
          <w:szCs w:val="20"/>
        </w:rPr>
        <w:object w:dxaOrig="1453" w:dyaOrig="376">
          <v:shape id="_x0000_i1062" type="#_x0000_t75" style="width:72.5pt;height:19pt" o:ole="">
            <v:imagedata r:id="rId58" o:title=""/>
          </v:shape>
          <o:OLEObject Type="Embed" ProgID="Equation.KSEE3" ShapeID="_x0000_i1062" DrawAspect="Content" ObjectID="_1697655902" r:id="rId59"/>
        </w:object>
      </w:r>
      <w:r>
        <w:rPr>
          <w:rFonts w:ascii="Times New Roman" w:eastAsia="宋体" w:hAnsi="Times New Roman" w:cs="Times New Roman" w:hint="eastAsia"/>
          <w:sz w:val="20"/>
          <w:szCs w:val="20"/>
        </w:rPr>
        <w:t xml:space="preserve"> and old value </w:t>
      </w:r>
      <w:r>
        <w:rPr>
          <w:rFonts w:ascii="Times New Roman" w:eastAsia="宋体" w:hAnsi="Times New Roman" w:cs="Times New Roman" w:hint="eastAsia"/>
          <w:position w:val="-14"/>
          <w:sz w:val="20"/>
          <w:szCs w:val="20"/>
        </w:rPr>
        <w:object w:dxaOrig="1427" w:dyaOrig="376">
          <v:shape id="_x0000_i1063" type="#_x0000_t75" style="width:71.5pt;height:19pt" o:ole="">
            <v:imagedata r:id="rId60" o:title=""/>
          </v:shape>
          <o:OLEObject Type="Embed" ProgID="Equation.KSEE3" ShapeID="_x0000_i1063" DrawAspect="Content" ObjectID="_1697655903" r:id="rId61"/>
        </w:object>
      </w:r>
      <w:r>
        <w:rPr>
          <w:rFonts w:ascii="Times New Roman" w:eastAsia="宋体" w:hAnsi="Times New Roman" w:cs="Times New Roman" w:hint="eastAsia"/>
          <w:sz w:val="20"/>
          <w:szCs w:val="20"/>
        </w:rPr>
        <w:t xml:space="preserve"> from the accumulative closed loop TA </w:t>
      </w:r>
      <w:r>
        <w:rPr>
          <w:rFonts w:ascii="Times New Roman" w:eastAsia="宋体" w:hAnsi="Times New Roman" w:cs="Times New Roman" w:hint="eastAsia"/>
          <w:position w:val="-10"/>
          <w:sz w:val="20"/>
          <w:szCs w:val="20"/>
        </w:rPr>
        <w:object w:dxaOrig="426" w:dyaOrig="338">
          <v:shape id="_x0000_i1064" type="#_x0000_t75" style="width:21.5pt;height:17pt" o:ole="">
            <v:imagedata r:id="rId22" o:title=""/>
          </v:shape>
          <o:OLEObject Type="Embed" ProgID="Equation.KSEE3" ShapeID="_x0000_i1064" DrawAspect="Content" ObjectID="_1697655904" r:id="rId62"/>
        </w:object>
      </w:r>
      <w:r>
        <w:rPr>
          <w:rFonts w:ascii="Times New Roman" w:eastAsia="宋体" w:hAnsi="Times New Roman" w:cs="Times New Roman" w:hint="eastAsia"/>
          <w:sz w:val="20"/>
          <w:szCs w:val="20"/>
        </w:rPr>
        <w:t xml:space="preserve">, i.e., </w:t>
      </w:r>
      <w:r>
        <w:rPr>
          <w:rFonts w:ascii="Times New Roman" w:eastAsia="宋体" w:hAnsi="Times New Roman" w:cs="Times New Roman" w:hint="eastAsia"/>
          <w:position w:val="-14"/>
          <w:sz w:val="20"/>
          <w:szCs w:val="20"/>
        </w:rPr>
        <w:object w:dxaOrig="3793" w:dyaOrig="378">
          <v:shape id="_x0000_i1065" type="#_x0000_t75" style="width:189.5pt;height:19pt" o:ole="">
            <v:imagedata r:id="rId63" o:title=""/>
          </v:shape>
          <o:OLEObject Type="Embed" ProgID="Equation.KSEE3" ShapeID="_x0000_i1065" DrawAspect="Content" ObjectID="_1697655905" r:id="rId64"/>
        </w:object>
      </w:r>
      <w:r>
        <w:rPr>
          <w:rFonts w:ascii="Times New Roman" w:eastAsia="宋体" w:hAnsi="Times New Roman" w:cs="Times New Roman" w:hint="eastAsia"/>
          <w:sz w:val="20"/>
          <w:szCs w:val="20"/>
        </w:rPr>
        <w:t xml:space="preserve">. For open loop control of common TA, similar procedure can be adopted, where UE subtracts the difference between common TA derived based on new parameters </w:t>
      </w:r>
      <w:r>
        <w:rPr>
          <w:rFonts w:ascii="Times New Roman" w:eastAsia="宋体" w:hAnsi="Times New Roman" w:cs="Times New Roman" w:hint="eastAsia"/>
          <w:position w:val="-14"/>
          <w:sz w:val="20"/>
          <w:szCs w:val="20"/>
        </w:rPr>
        <w:object w:dxaOrig="1215" w:dyaOrig="376">
          <v:shape id="_x0000_i1066" type="#_x0000_t75" style="width:61pt;height:19pt" o:ole="">
            <v:imagedata r:id="rId65" o:title=""/>
          </v:shape>
          <o:OLEObject Type="Embed" ProgID="Equation.KSEE3" ShapeID="_x0000_i1066" DrawAspect="Content" ObjectID="_1697655906" r:id="rId66"/>
        </w:object>
      </w:r>
      <w:r>
        <w:rPr>
          <w:rFonts w:ascii="Times New Roman" w:eastAsia="宋体" w:hAnsi="Times New Roman" w:cs="Times New Roman" w:hint="eastAsia"/>
          <w:sz w:val="20"/>
          <w:szCs w:val="20"/>
        </w:rPr>
        <w:t xml:space="preserve"> and the value based on old parameters </w:t>
      </w:r>
      <w:r>
        <w:rPr>
          <w:rFonts w:ascii="Times New Roman" w:eastAsia="宋体" w:hAnsi="Times New Roman" w:cs="Times New Roman" w:hint="eastAsia"/>
          <w:position w:val="-14"/>
          <w:sz w:val="20"/>
          <w:szCs w:val="20"/>
        </w:rPr>
        <w:object w:dxaOrig="1190" w:dyaOrig="376">
          <v:shape id="_x0000_i1067" type="#_x0000_t75" style="width:59.5pt;height:19pt" o:ole="">
            <v:imagedata r:id="rId67" o:title=""/>
          </v:shape>
          <o:OLEObject Type="Embed" ProgID="Equation.KSEE3" ShapeID="_x0000_i1067" DrawAspect="Content" ObjectID="_1697655907" r:id="rId68"/>
        </w:object>
      </w:r>
      <w:r>
        <w:rPr>
          <w:rFonts w:ascii="Times New Roman" w:eastAsia="宋体" w:hAnsi="Times New Roman" w:cs="Times New Roman" w:hint="eastAsia"/>
          <w:sz w:val="20"/>
          <w:szCs w:val="20"/>
        </w:rPr>
        <w:t xml:space="preserve"> from the accumulative closed loop TA </w:t>
      </w:r>
      <w:r>
        <w:rPr>
          <w:rFonts w:ascii="Times New Roman" w:eastAsia="宋体" w:hAnsi="Times New Roman" w:cs="Times New Roman" w:hint="eastAsia"/>
          <w:position w:val="-10"/>
          <w:sz w:val="20"/>
          <w:szCs w:val="20"/>
        </w:rPr>
        <w:object w:dxaOrig="426" w:dyaOrig="338">
          <v:shape id="_x0000_i1068" type="#_x0000_t75" style="width:21.5pt;height:17pt" o:ole="">
            <v:imagedata r:id="rId22" o:title=""/>
          </v:shape>
          <o:OLEObject Type="Embed" ProgID="Equation.KSEE3" ShapeID="_x0000_i1068" DrawAspect="Content" ObjectID="_1697655908" r:id="rId69"/>
        </w:object>
      </w:r>
      <w:r>
        <w:rPr>
          <w:rFonts w:ascii="Times New Roman" w:eastAsia="宋体" w:hAnsi="Times New Roman" w:cs="Times New Roman" w:hint="eastAsia"/>
          <w:sz w:val="20"/>
          <w:szCs w:val="20"/>
        </w:rPr>
        <w:t xml:space="preserve">, i.e., </w:t>
      </w:r>
      <w:r>
        <w:rPr>
          <w:rFonts w:ascii="Times New Roman" w:eastAsia="宋体" w:hAnsi="Times New Roman" w:cs="Times New Roman" w:hint="eastAsia"/>
          <w:position w:val="-14"/>
          <w:sz w:val="20"/>
          <w:szCs w:val="20"/>
        </w:rPr>
        <w:object w:dxaOrig="3328" w:dyaOrig="378">
          <v:shape id="_x0000_i1069" type="#_x0000_t75" style="width:166.5pt;height:19pt" o:ole="">
            <v:imagedata r:id="rId70" o:title=""/>
          </v:shape>
          <o:OLEObject Type="Embed" ProgID="Equation.KSEE3" ShapeID="_x0000_i1069" DrawAspect="Content" ObjectID="_1697655909" r:id="rId71"/>
        </w:object>
      </w:r>
      <w:r>
        <w:rPr>
          <w:rFonts w:ascii="Times New Roman" w:eastAsia="宋体" w:hAnsi="Times New Roman" w:cs="Times New Roman" w:hint="eastAsia"/>
          <w:sz w:val="20"/>
          <w:szCs w:val="20"/>
        </w:rPr>
        <w:t>. With this method, RAN4 requirements will not be affected.</w:t>
      </w:r>
    </w:p>
    <w:p w:rsidR="00EA0F38" w:rsidRDefault="0096751C">
      <w:pPr>
        <w:spacing w:beforeLines="50" w:before="120" w:afterLines="50" w:after="120" w:line="240" w:lineRule="auto"/>
        <w:ind w:left="420"/>
        <w:jc w:val="both"/>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9: </w:t>
      </w:r>
      <w:r>
        <w:rPr>
          <w:rFonts w:ascii="Times New Roman" w:eastAsia="宋体" w:hAnsi="Times New Roman"/>
          <w:bCs/>
          <w:i/>
          <w:sz w:val="20"/>
          <w:szCs w:val="20"/>
        </w:rPr>
        <w:t>If no conclusion in RAN4 on this issue, the following solution should be specified to avoid the duplicated correction:</w:t>
      </w:r>
    </w:p>
    <w:p w:rsidR="00EA0F38" w:rsidRDefault="0096751C">
      <w:pPr>
        <w:pStyle w:val="ad"/>
        <w:numPr>
          <w:ilvl w:val="0"/>
          <w:numId w:val="16"/>
        </w:numPr>
        <w:spacing w:beforeLines="50" w:before="120" w:afterLines="50" w:after="120" w:line="240" w:lineRule="auto"/>
        <w:ind w:firstLineChars="0"/>
        <w:jc w:val="both"/>
        <w:rPr>
          <w:rFonts w:ascii="Times New Roman" w:eastAsia="宋体" w:hAnsi="Times New Roman"/>
          <w:bCs/>
          <w:i/>
          <w:sz w:val="20"/>
          <w:szCs w:val="20"/>
        </w:rPr>
      </w:pPr>
      <w:r>
        <w:rPr>
          <w:rFonts w:ascii="Times New Roman" w:eastAsia="宋体" w:hAnsi="Times New Roman" w:hint="eastAsia"/>
          <w:bCs/>
          <w:i/>
          <w:sz w:val="20"/>
          <w:szCs w:val="20"/>
        </w:rPr>
        <w:t xml:space="preserve">UE subtracts the difference between UE specific TAs derived based on new parameters and old parameters from the accumulative closed loop TA when new GNSS fix and/or new ephemeris are applied, i.e., </w:t>
      </w:r>
      <w:r>
        <w:rPr>
          <w:rFonts w:ascii="Times New Roman" w:eastAsia="宋体" w:hAnsi="Times New Roman" w:cs="Times New Roman" w:hint="eastAsia"/>
          <w:position w:val="-14"/>
          <w:sz w:val="20"/>
          <w:szCs w:val="20"/>
        </w:rPr>
        <w:object w:dxaOrig="3793" w:dyaOrig="378">
          <v:shape id="_x0000_i1070" type="#_x0000_t75" style="width:189.5pt;height:19pt" o:ole="">
            <v:imagedata r:id="rId63" o:title=""/>
          </v:shape>
          <o:OLEObject Type="Embed" ProgID="Equation.KSEE3" ShapeID="_x0000_i1070" DrawAspect="Content" ObjectID="_1697655910" r:id="rId72"/>
        </w:object>
      </w:r>
      <w:r>
        <w:rPr>
          <w:rFonts w:ascii="Times New Roman" w:eastAsia="宋体" w:hAnsi="Times New Roman" w:hint="eastAsia"/>
          <w:bCs/>
          <w:i/>
          <w:sz w:val="20"/>
          <w:szCs w:val="20"/>
        </w:rPr>
        <w:t>.</w:t>
      </w:r>
    </w:p>
    <w:p w:rsidR="00EA0F38" w:rsidRDefault="0096751C">
      <w:pPr>
        <w:pStyle w:val="ad"/>
        <w:numPr>
          <w:ilvl w:val="0"/>
          <w:numId w:val="16"/>
        </w:numPr>
        <w:spacing w:beforeLines="50" w:before="120" w:afterLines="50" w:after="120" w:line="240" w:lineRule="auto"/>
        <w:ind w:firstLineChars="0"/>
        <w:jc w:val="both"/>
        <w:rPr>
          <w:rFonts w:ascii="Times New Roman" w:eastAsia="宋体" w:hAnsi="Times New Roman"/>
          <w:bCs/>
          <w:i/>
          <w:sz w:val="20"/>
          <w:szCs w:val="20"/>
        </w:rPr>
      </w:pPr>
      <w:r>
        <w:rPr>
          <w:rFonts w:ascii="Times New Roman" w:eastAsia="宋体" w:hAnsi="Times New Roman" w:hint="eastAsia"/>
          <w:bCs/>
          <w:i/>
          <w:sz w:val="20"/>
          <w:szCs w:val="20"/>
        </w:rPr>
        <w:t>UE subtracts the difference between common TAs derived based on new parameters and old parameters from the accumulative closed loop TA when new common TA parameters are applied, i.e.</w:t>
      </w:r>
      <w:proofErr w:type="gramStart"/>
      <w:r>
        <w:rPr>
          <w:rFonts w:ascii="Times New Roman" w:eastAsia="宋体" w:hAnsi="Times New Roman" w:hint="eastAsia"/>
          <w:bCs/>
          <w:i/>
          <w:sz w:val="20"/>
          <w:szCs w:val="20"/>
        </w:rPr>
        <w:t xml:space="preserve">, </w:t>
      </w:r>
      <w:proofErr w:type="gramEnd"/>
      <w:r>
        <w:rPr>
          <w:rFonts w:ascii="Times New Roman" w:eastAsia="宋体" w:hAnsi="Times New Roman" w:cs="Times New Roman" w:hint="eastAsia"/>
          <w:position w:val="-14"/>
          <w:sz w:val="20"/>
          <w:szCs w:val="20"/>
        </w:rPr>
        <w:object w:dxaOrig="3328" w:dyaOrig="378">
          <v:shape id="_x0000_i1071" type="#_x0000_t75" style="width:166.5pt;height:19pt" o:ole="">
            <v:imagedata r:id="rId70" o:title=""/>
          </v:shape>
          <o:OLEObject Type="Embed" ProgID="Equation.KSEE3" ShapeID="_x0000_i1071" DrawAspect="Content" ObjectID="_1697655911" r:id="rId73"/>
        </w:object>
      </w:r>
      <w:r>
        <w:rPr>
          <w:rFonts w:ascii="Times New Roman" w:eastAsia="宋体" w:hAnsi="Times New Roman" w:hint="eastAsia"/>
          <w:bCs/>
          <w:i/>
          <w:sz w:val="20"/>
          <w:szCs w:val="20"/>
        </w:rPr>
        <w:t>.</w:t>
      </w:r>
    </w:p>
    <w:p w:rsidR="00EA0F38" w:rsidRDefault="0096751C">
      <w:pPr>
        <w:pStyle w:val="2"/>
        <w:numPr>
          <w:ilvl w:val="1"/>
          <w:numId w:val="8"/>
        </w:numPr>
        <w:rPr>
          <w:rFonts w:ascii="Times New Roman" w:eastAsia="宋体" w:hAnsi="Times New Roman" w:cs="Times New Roman"/>
          <w:sz w:val="24"/>
          <w:szCs w:val="24"/>
          <w:lang w:val="en-US"/>
        </w:rPr>
      </w:pPr>
      <w:r>
        <w:rPr>
          <w:rFonts w:ascii="Times New Roman" w:eastAsia="宋体" w:hAnsi="Times New Roman" w:cs="Times New Roman" w:hint="eastAsia"/>
          <w:sz w:val="24"/>
          <w:szCs w:val="24"/>
          <w:lang w:val="en-US"/>
        </w:rPr>
        <w:lastRenderedPageBreak/>
        <w:t>Validity timer for assistance information</w:t>
      </w:r>
      <w:r>
        <w:rPr>
          <w:rFonts w:ascii="Times New Roman" w:eastAsia="宋体" w:hAnsi="Times New Roman" w:cs="Times New Roman"/>
          <w:sz w:val="24"/>
          <w:szCs w:val="24"/>
          <w:lang w:val="en-US"/>
        </w:rPr>
        <w:t xml:space="preserve"> </w:t>
      </w:r>
    </w:p>
    <w:p w:rsidR="00EA0F38" w:rsidRDefault="0096751C">
      <w:pPr>
        <w:pStyle w:val="2"/>
        <w:numPr>
          <w:ilvl w:val="2"/>
          <w:numId w:val="8"/>
        </w:numPr>
        <w:rPr>
          <w:rFonts w:ascii="Times New Roman" w:eastAsia="宋体" w:hAnsi="Times New Roman" w:cs="Times New Roman"/>
          <w:sz w:val="24"/>
          <w:szCs w:val="24"/>
          <w:lang w:val="en-US"/>
        </w:rPr>
      </w:pPr>
      <w:r>
        <w:rPr>
          <w:rFonts w:ascii="Times New Roman" w:eastAsia="宋体" w:hAnsi="Times New Roman" w:cs="Times New Roman" w:hint="eastAsia"/>
          <w:sz w:val="24"/>
          <w:szCs w:val="24"/>
          <w:lang w:val="en-US"/>
        </w:rPr>
        <w:t>Validity duration indication</w:t>
      </w:r>
    </w:p>
    <w:p w:rsidR="00EA0F38" w:rsidRDefault="0096751C">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RAN1#106b-e, it has been agreed that a single validity duration for both serving satellite ephemeris and common TA related parameters is defined at least if serving satellite ephemeris and common TA related parameters are signaled in the same SIB message. It is reasonable to use one SIB to indicated common TA and ephemeris, which are both NTN parameters. Hence, single validity duration shared by common TA and ephemeris parameters should be broadcast per cell to simplify the design. </w:t>
      </w:r>
    </w:p>
    <w:p w:rsidR="00EA0F38" w:rsidRDefault="0096751C">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Moreover, for validity duration indication, if the scheduling unit, i.e., a slot, is used as the signaling granularity, the indicated value will depend on applied SCS and could be larger than 10000 since the duration can be longer than 10 s as evaluated above. Considering that there is no significant performance loss when the indicated validity duration is a bit short, a coarse granularity, e.g., one second, can be adopted for validity duration indication to save signaling overhead. </w:t>
      </w:r>
    </w:p>
    <w:p w:rsidR="00EA0F38" w:rsidRDefault="0096751C">
      <w:pPr>
        <w:spacing w:after="120"/>
        <w:ind w:leftChars="200" w:left="440"/>
        <w:rPr>
          <w:rFonts w:ascii="Times New Roman" w:hAnsi="Times New Roman" w:cs="Times New Roman"/>
          <w:i/>
          <w:iCs/>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10: </w:t>
      </w:r>
      <w:r>
        <w:rPr>
          <w:rFonts w:ascii="Times New Roman" w:eastAsia="宋体" w:hAnsi="Times New Roman" w:cs="Times New Roman" w:hint="eastAsia"/>
          <w:i/>
          <w:iCs/>
          <w:sz w:val="20"/>
          <w:szCs w:val="20"/>
        </w:rPr>
        <w:t>A single validity duration for both common TA and ephemeris parameters should be broadcast by SIB per cell</w:t>
      </w:r>
      <w:r>
        <w:rPr>
          <w:rFonts w:ascii="Times New Roman" w:hAnsi="Times New Roman" w:cs="Times New Roman" w:hint="eastAsia"/>
          <w:i/>
          <w:iCs/>
          <w:sz w:val="20"/>
          <w:szCs w:val="20"/>
        </w:rPr>
        <w:t xml:space="preserve">. </w:t>
      </w:r>
    </w:p>
    <w:p w:rsidR="00EA0F38" w:rsidRDefault="0096751C">
      <w:pPr>
        <w:spacing w:after="120"/>
        <w:ind w:leftChars="200" w:left="440"/>
        <w:rPr>
          <w:rFonts w:ascii="Times New Roman" w:hAnsi="Times New Roman" w:cs="Times New Roman"/>
          <w:i/>
          <w:iCs/>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11: </w:t>
      </w:r>
      <w:r>
        <w:rPr>
          <w:rFonts w:ascii="Times New Roman" w:hAnsi="Times New Roman" w:cs="Times New Roman" w:hint="eastAsia"/>
          <w:i/>
          <w:iCs/>
          <w:sz w:val="20"/>
          <w:szCs w:val="20"/>
        </w:rPr>
        <w:t xml:space="preserve">The signaling granularity of validity duration can be chosen </w:t>
      </w:r>
      <w:r w:rsidR="00052A59">
        <w:rPr>
          <w:rFonts w:ascii="Times New Roman" w:hAnsi="Times New Roman" w:cs="Times New Roman" w:hint="eastAsia"/>
          <w:i/>
          <w:iCs/>
          <w:sz w:val="20"/>
          <w:szCs w:val="20"/>
        </w:rPr>
        <w:t>up</w:t>
      </w:r>
      <w:r w:rsidR="00052A59">
        <w:rPr>
          <w:rFonts w:ascii="Times New Roman" w:hAnsi="Times New Roman" w:cs="Times New Roman"/>
          <w:i/>
          <w:iCs/>
          <w:sz w:val="20"/>
          <w:szCs w:val="20"/>
        </w:rPr>
        <w:t xml:space="preserve"> to one or more </w:t>
      </w:r>
      <w:r>
        <w:rPr>
          <w:rFonts w:ascii="Times New Roman" w:hAnsi="Times New Roman" w:cs="Times New Roman" w:hint="eastAsia"/>
          <w:i/>
          <w:iCs/>
          <w:sz w:val="20"/>
          <w:szCs w:val="20"/>
        </w:rPr>
        <w:t>second</w:t>
      </w:r>
      <w:r w:rsidR="00052A59">
        <w:rPr>
          <w:rFonts w:ascii="Times New Roman" w:hAnsi="Times New Roman" w:cs="Times New Roman"/>
          <w:i/>
          <w:iCs/>
          <w:sz w:val="20"/>
          <w:szCs w:val="20"/>
        </w:rPr>
        <w:t>s with larger range to cover all potential cases</w:t>
      </w:r>
      <w:r>
        <w:rPr>
          <w:rFonts w:ascii="Times New Roman" w:hAnsi="Times New Roman" w:cs="Times New Roman" w:hint="eastAsia"/>
          <w:i/>
          <w:iCs/>
          <w:sz w:val="20"/>
          <w:szCs w:val="20"/>
        </w:rPr>
        <w:t>.</w:t>
      </w:r>
    </w:p>
    <w:p w:rsidR="00EA0F38" w:rsidRDefault="0096751C">
      <w:pPr>
        <w:pStyle w:val="2"/>
        <w:numPr>
          <w:ilvl w:val="2"/>
          <w:numId w:val="8"/>
        </w:numPr>
        <w:rPr>
          <w:rFonts w:ascii="Times New Roman" w:eastAsia="宋体" w:hAnsi="Times New Roman" w:cs="Times New Roman"/>
          <w:sz w:val="24"/>
          <w:szCs w:val="24"/>
          <w:lang w:val="en-US"/>
        </w:rPr>
      </w:pPr>
      <w:r>
        <w:rPr>
          <w:rFonts w:ascii="Times New Roman" w:eastAsia="宋体" w:hAnsi="Times New Roman" w:cs="Times New Roman" w:hint="eastAsia"/>
          <w:sz w:val="24"/>
          <w:szCs w:val="24"/>
          <w:lang w:val="en-US"/>
        </w:rPr>
        <w:t>Update of assistance information</w:t>
      </w:r>
    </w:p>
    <w:p w:rsidR="00EA0F38" w:rsidRDefault="0096751C">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As agreed in RAN1#106b-e, UE assumes that it has lost uplink synchronization if new or additional assistance information (i.e. serving satellite ephemeris data or Common TA parameters) is not available within the associated validity duration. However, how to acquire new or additional assistance information is not determined yet. Obviously, the complexity of UE will be high if UE read every SIB to update assistance information (redundant SIB decoding) or only update assistance information after synchronization loss (additional re-access procedure). Hence, a periodical update mechanism can be applied for the assistance information, where the update period should be equal to or shorter than validity duration length, e.g., as shown in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_Ref31955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Figure 2</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In this case, continuous transmission with accurate UL synchronization can be ensured with relatively low complexity. Moreover, the periodical update mechanism aligns better with legacy SIB update procedure and has almost no spec impact except to define a specific modification period for SIB containing assistance information.</w:t>
      </w:r>
    </w:p>
    <w:p w:rsidR="00EA0F38" w:rsidRDefault="0096751C">
      <w:pPr>
        <w:numPr>
          <w:ilvl w:val="3"/>
          <w:numId w:val="0"/>
        </w:numPr>
        <w:spacing w:after="120"/>
        <w:ind w:leftChars="200" w:left="440"/>
        <w:jc w:val="center"/>
        <w:rPr>
          <w:rFonts w:ascii="Times New Roman" w:eastAsia="宋体" w:hAnsi="Times New Roman" w:cs="Times New Roman"/>
          <w:sz w:val="20"/>
          <w:szCs w:val="20"/>
        </w:rPr>
      </w:pPr>
      <w:r>
        <w:rPr>
          <w:rFonts w:ascii="Times New Roman" w:eastAsia="宋体" w:hAnsi="Times New Roman" w:cs="Times New Roman" w:hint="eastAsia"/>
          <w:noProof/>
          <w:sz w:val="20"/>
          <w:szCs w:val="20"/>
        </w:rPr>
        <w:drawing>
          <wp:inline distT="0" distB="0" distL="114300" distR="114300">
            <wp:extent cx="5378450" cy="1290955"/>
            <wp:effectExtent l="0" t="0" r="12700" b="4445"/>
            <wp:docPr id="7" name="图片 7" descr="valid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valid time"/>
                    <pic:cNvPicPr>
                      <a:picLocks noChangeAspect="1"/>
                    </pic:cNvPicPr>
                  </pic:nvPicPr>
                  <pic:blipFill>
                    <a:blip r:embed="rId74"/>
                    <a:stretch>
                      <a:fillRect/>
                    </a:stretch>
                  </pic:blipFill>
                  <pic:spPr>
                    <a:xfrm>
                      <a:off x="0" y="0"/>
                      <a:ext cx="5378450" cy="1290955"/>
                    </a:xfrm>
                    <a:prstGeom prst="rect">
                      <a:avLst/>
                    </a:prstGeom>
                  </pic:spPr>
                </pic:pic>
              </a:graphicData>
            </a:graphic>
          </wp:inline>
        </w:drawing>
      </w:r>
    </w:p>
    <w:p w:rsidR="00EA0F38" w:rsidRDefault="0096751C">
      <w:pPr>
        <w:pStyle w:val="a3"/>
        <w:rPr>
          <w:lang w:val="en-US"/>
        </w:rPr>
      </w:pPr>
      <w:bookmarkStart w:id="9" w:name="_Ref31955"/>
      <w:r>
        <w:rPr>
          <w:rFonts w:hint="eastAsia"/>
          <w:b w:val="0"/>
          <w:lang w:val="en-US"/>
        </w:rPr>
        <w:t xml:space="preserve">Figure </w:t>
      </w:r>
      <w:r>
        <w:rPr>
          <w:rFonts w:hint="eastAsia"/>
          <w:b w:val="0"/>
          <w:lang w:val="en-US"/>
        </w:rPr>
        <w:fldChar w:fldCharType="begin"/>
      </w:r>
      <w:r>
        <w:rPr>
          <w:rFonts w:hint="eastAsia"/>
          <w:b w:val="0"/>
          <w:lang w:val="en-US"/>
        </w:rPr>
        <w:instrText xml:space="preserve"> SEQ Figure \* ARABIC </w:instrText>
      </w:r>
      <w:r>
        <w:rPr>
          <w:rFonts w:hint="eastAsia"/>
          <w:b w:val="0"/>
          <w:lang w:val="en-US"/>
        </w:rPr>
        <w:fldChar w:fldCharType="separate"/>
      </w:r>
      <w:r>
        <w:rPr>
          <w:rFonts w:hint="eastAsia"/>
          <w:b w:val="0"/>
          <w:lang w:val="en-US"/>
        </w:rPr>
        <w:t>2</w:t>
      </w:r>
      <w:r>
        <w:rPr>
          <w:rFonts w:hint="eastAsia"/>
          <w:b w:val="0"/>
          <w:lang w:val="en-US"/>
        </w:rPr>
        <w:fldChar w:fldCharType="end"/>
      </w:r>
      <w:bookmarkEnd w:id="9"/>
      <w:r>
        <w:rPr>
          <w:rFonts w:hint="eastAsia"/>
          <w:b w:val="0"/>
          <w:lang w:val="en-US"/>
        </w:rPr>
        <w:t xml:space="preserve"> Illustration of indication of assistance information</w:t>
      </w:r>
    </w:p>
    <w:p w:rsidR="00EA0F38" w:rsidRDefault="0096751C">
      <w:pPr>
        <w:spacing w:after="120"/>
        <w:ind w:leftChars="200" w:left="440"/>
        <w:rPr>
          <w:rFonts w:ascii="Times New Roman" w:hAnsi="Times New Roman" w:cs="Times New Roman"/>
          <w:i/>
          <w:iCs/>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12: </w:t>
      </w:r>
      <w:r>
        <w:rPr>
          <w:rFonts w:ascii="Times New Roman" w:eastAsia="宋体" w:hAnsi="Times New Roman" w:cs="Times New Roman" w:hint="eastAsia"/>
          <w:i/>
          <w:iCs/>
          <w:sz w:val="20"/>
          <w:szCs w:val="20"/>
        </w:rPr>
        <w:t xml:space="preserve">The </w:t>
      </w:r>
      <w:r>
        <w:rPr>
          <w:rFonts w:ascii="Times New Roman" w:hAnsi="Times New Roman" w:cs="Times New Roman" w:hint="eastAsia"/>
          <w:i/>
          <w:iCs/>
          <w:sz w:val="20"/>
          <w:szCs w:val="20"/>
        </w:rPr>
        <w:t>assistance information can be updated by UE through periodic SIB reading. The update period should be equal to or shorter than the validity duration to avoid synchronization loss during UL transmission.</w:t>
      </w:r>
    </w:p>
    <w:p w:rsidR="00EA0F38" w:rsidRDefault="0096751C">
      <w:pPr>
        <w:pStyle w:val="2"/>
        <w:numPr>
          <w:ilvl w:val="2"/>
          <w:numId w:val="8"/>
        </w:numPr>
        <w:rPr>
          <w:rFonts w:ascii="Times New Roman" w:eastAsia="宋体" w:hAnsi="Times New Roman" w:cs="Times New Roman"/>
          <w:sz w:val="24"/>
          <w:szCs w:val="24"/>
          <w:lang w:val="en-US"/>
        </w:rPr>
      </w:pPr>
      <w:r>
        <w:rPr>
          <w:rFonts w:ascii="Times New Roman" w:eastAsia="宋体" w:hAnsi="Times New Roman" w:cs="Times New Roman" w:hint="eastAsia"/>
          <w:sz w:val="24"/>
          <w:szCs w:val="24"/>
          <w:lang w:val="en-US"/>
        </w:rPr>
        <w:t>Epoch time indication</w:t>
      </w:r>
    </w:p>
    <w:p w:rsidR="00EA0F38" w:rsidRDefault="0096751C">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T</w:t>
      </w:r>
      <w:r>
        <w:rPr>
          <w:rFonts w:ascii="Times New Roman" w:eastAsia="宋体" w:hAnsi="Times New Roman" w:cs="Times New Roman"/>
          <w:sz w:val="20"/>
          <w:szCs w:val="20"/>
        </w:rPr>
        <w:t xml:space="preserve">o deliver the full set information of </w:t>
      </w:r>
      <w:r>
        <w:rPr>
          <w:rFonts w:ascii="Times New Roman" w:eastAsia="宋体" w:hAnsi="Times New Roman" w:cs="Times New Roman" w:hint="eastAsia"/>
          <w:sz w:val="20"/>
          <w:szCs w:val="20"/>
        </w:rPr>
        <w:t>validity duration</w:t>
      </w:r>
      <w:r>
        <w:rPr>
          <w:rFonts w:ascii="Times New Roman" w:eastAsia="宋体" w:hAnsi="Times New Roman" w:cs="Times New Roman"/>
          <w:sz w:val="20"/>
          <w:szCs w:val="20"/>
        </w:rPr>
        <w:t xml:space="preserve"> without confusion at UE side, </w:t>
      </w:r>
      <w:r>
        <w:rPr>
          <w:rFonts w:ascii="Times New Roman" w:eastAsia="宋体" w:hAnsi="Times New Roman" w:cs="Times New Roman" w:hint="eastAsia"/>
          <w:sz w:val="20"/>
          <w:szCs w:val="20"/>
        </w:rPr>
        <w:t xml:space="preserve">the epoch time, i.e., activation time instant, of assistance information should be indicated to UE in addition to validity duration. To save signaling, the activation time instant can be considered indicated in </w:t>
      </w:r>
      <w:r>
        <w:rPr>
          <w:rFonts w:ascii="Times New Roman" w:eastAsia="宋体" w:hAnsi="Times New Roman" w:cs="Times New Roman"/>
          <w:sz w:val="20"/>
          <w:szCs w:val="20"/>
        </w:rPr>
        <w:t>an</w:t>
      </w:r>
      <w:r>
        <w:rPr>
          <w:rFonts w:ascii="Times New Roman" w:eastAsia="宋体" w:hAnsi="Times New Roman" w:cs="Times New Roman" w:hint="eastAsia"/>
          <w:sz w:val="20"/>
          <w:szCs w:val="20"/>
        </w:rPr>
        <w:t xml:space="preserve"> implicit way instead of directly </w:t>
      </w:r>
      <w:r>
        <w:rPr>
          <w:rFonts w:ascii="Times New Roman" w:eastAsia="宋体" w:hAnsi="Times New Roman" w:cs="Times New Roman" w:hint="eastAsia"/>
          <w:sz w:val="20"/>
          <w:szCs w:val="20"/>
        </w:rPr>
        <w:lastRenderedPageBreak/>
        <w:t xml:space="preserve">indicating the UTC time. However, since UE may not </w:t>
      </w:r>
      <w:r>
        <w:rPr>
          <w:rFonts w:ascii="Times New Roman" w:eastAsia="宋体" w:hAnsi="Times New Roman" w:cs="Times New Roman"/>
          <w:sz w:val="20"/>
          <w:szCs w:val="20"/>
        </w:rPr>
        <w:t xml:space="preserve">be </w:t>
      </w:r>
      <w:r>
        <w:rPr>
          <w:rFonts w:ascii="Times New Roman" w:eastAsia="宋体" w:hAnsi="Times New Roman" w:cs="Times New Roman" w:hint="eastAsia"/>
          <w:sz w:val="20"/>
          <w:szCs w:val="20"/>
        </w:rPr>
        <w:t>able to identify initial transmission of SIB among multiple repetitions, it is not always feasible to utilize a predefined rule to indicate epoch time, e.g., link the epoch time to the DL slots carrying the SIB. Hence, network can provide the SFN and subframe index to which the epoch time is linked.</w:t>
      </w:r>
    </w:p>
    <w:p w:rsidR="00EA0F38" w:rsidRDefault="0096751C">
      <w:pPr>
        <w:numPr>
          <w:ilvl w:val="3"/>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Moreover, even if the SFN and subframe index linked with epoch time is indicated, the absolute epoch time cannot be known by UE if the reference point of epoch time is not known. For example, if BS set the epoch time as the transmission time of a DL subframe but UE identify the epoch time as the receiving time, there will be misalignment in latter propagation of ephemeris and common TA. In order to let UE and BS achieve consensus on the epoch time, the propagation delay between UE and reference point should be known by UE and the delay between BS and reference point should be known by BS. Therefore, the reference point of epoch time should be the satellite.</w:t>
      </w:r>
    </w:p>
    <w:p w:rsidR="00EA0F38" w:rsidRDefault="0096751C">
      <w:pPr>
        <w:numPr>
          <w:ilvl w:val="255"/>
          <w:numId w:val="0"/>
        </w:numPr>
        <w:adjustRightInd w:val="0"/>
        <w:snapToGrid w:val="0"/>
        <w:spacing w:beforeLines="50" w:before="120" w:afterLines="50" w:after="120" w:line="260" w:lineRule="auto"/>
        <w:ind w:leftChars="200" w:left="440"/>
        <w:rPr>
          <w:rFonts w:ascii="Times New Roman" w:eastAsia="宋体" w:hAnsi="Times New Roman" w:cs="Times New Roman"/>
          <w:i/>
          <w:iCs/>
          <w:sz w:val="20"/>
          <w:szCs w:val="20"/>
        </w:rPr>
      </w:pPr>
      <w:r>
        <w:rPr>
          <w:rFonts w:ascii="Times New Roman" w:hAnsi="Times New Roman" w:cs="Times New Roman" w:hint="eastAsia"/>
          <w:b/>
          <w:i/>
          <w:sz w:val="20"/>
          <w:szCs w:val="20"/>
        </w:rPr>
        <w:t>Proposal</w:t>
      </w:r>
      <w:r>
        <w:rPr>
          <w:rFonts w:ascii="Times New Roman" w:hAnsi="Times New Roman" w:cs="Times New Roman"/>
          <w:b/>
          <w:i/>
          <w:sz w:val="20"/>
          <w:szCs w:val="20"/>
        </w:rPr>
        <w:t xml:space="preserve"> </w:t>
      </w:r>
      <w:r>
        <w:rPr>
          <w:rFonts w:ascii="Times New Roman" w:hAnsi="Times New Roman" w:cs="Times New Roman" w:hint="eastAsia"/>
          <w:b/>
          <w:i/>
          <w:sz w:val="20"/>
          <w:szCs w:val="20"/>
        </w:rPr>
        <w:t>13</w:t>
      </w:r>
      <w:r>
        <w:rPr>
          <w:rFonts w:ascii="Times New Roman" w:hAnsi="Times New Roman" w:cs="Times New Roman"/>
          <w:b/>
          <w:i/>
          <w:sz w:val="20"/>
          <w:szCs w:val="20"/>
        </w:rPr>
        <w:t>:</w:t>
      </w:r>
      <w:r>
        <w:rPr>
          <w:rFonts w:ascii="Times New Roman" w:hAnsi="Times New Roman" w:cs="Times New Roman" w:hint="eastAsia"/>
          <w:i/>
          <w:sz w:val="20"/>
          <w:szCs w:val="20"/>
        </w:rPr>
        <w:t xml:space="preserve"> </w:t>
      </w:r>
      <w:r>
        <w:rPr>
          <w:rFonts w:ascii="Times New Roman" w:eastAsia="宋体" w:hAnsi="Times New Roman" w:hint="eastAsia"/>
          <w:i/>
          <w:sz w:val="20"/>
          <w:szCs w:val="20"/>
        </w:rPr>
        <w:t>The epoch time of assistance information can be implicitly indicated to UE using SFN and subframe index</w:t>
      </w:r>
      <w:r>
        <w:rPr>
          <w:rFonts w:ascii="Times New Roman" w:eastAsia="宋体" w:hAnsi="Times New Roman" w:cs="Times New Roman" w:hint="eastAsia"/>
          <w:i/>
          <w:iCs/>
          <w:sz w:val="20"/>
          <w:szCs w:val="20"/>
        </w:rPr>
        <w:t>.</w:t>
      </w:r>
    </w:p>
    <w:p w:rsidR="00EA0F38" w:rsidRDefault="0096751C">
      <w:pPr>
        <w:numPr>
          <w:ilvl w:val="255"/>
          <w:numId w:val="0"/>
        </w:numPr>
        <w:adjustRightInd w:val="0"/>
        <w:snapToGrid w:val="0"/>
        <w:spacing w:beforeLines="50" w:before="120" w:afterLines="50" w:after="120" w:line="260" w:lineRule="auto"/>
        <w:ind w:leftChars="200" w:left="440"/>
        <w:rPr>
          <w:rFonts w:ascii="Times New Roman" w:eastAsia="宋体" w:hAnsi="Times New Roman" w:cs="Times New Roman"/>
          <w:i/>
          <w:iCs/>
          <w:sz w:val="20"/>
          <w:szCs w:val="20"/>
        </w:rPr>
      </w:pPr>
      <w:r>
        <w:rPr>
          <w:rFonts w:ascii="Times New Roman" w:hAnsi="Times New Roman" w:cs="Times New Roman" w:hint="eastAsia"/>
          <w:b/>
          <w:i/>
          <w:sz w:val="20"/>
          <w:szCs w:val="20"/>
        </w:rPr>
        <w:t>Proposal</w:t>
      </w:r>
      <w:r>
        <w:rPr>
          <w:rFonts w:ascii="Times New Roman" w:hAnsi="Times New Roman" w:cs="Times New Roman"/>
          <w:b/>
          <w:i/>
          <w:sz w:val="20"/>
          <w:szCs w:val="20"/>
        </w:rPr>
        <w:t xml:space="preserve"> </w:t>
      </w:r>
      <w:r>
        <w:rPr>
          <w:rFonts w:ascii="Times New Roman" w:hAnsi="Times New Roman" w:cs="Times New Roman" w:hint="eastAsia"/>
          <w:b/>
          <w:i/>
          <w:sz w:val="20"/>
          <w:szCs w:val="20"/>
        </w:rPr>
        <w:t>14</w:t>
      </w:r>
      <w:r>
        <w:rPr>
          <w:rFonts w:ascii="Times New Roman" w:hAnsi="Times New Roman" w:cs="Times New Roman"/>
          <w:b/>
          <w:i/>
          <w:sz w:val="20"/>
          <w:szCs w:val="20"/>
        </w:rPr>
        <w:t>:</w:t>
      </w:r>
      <w:r>
        <w:rPr>
          <w:rFonts w:ascii="Times New Roman" w:hAnsi="Times New Roman" w:cs="Times New Roman" w:hint="eastAsia"/>
          <w:i/>
          <w:sz w:val="20"/>
          <w:szCs w:val="20"/>
        </w:rPr>
        <w:t xml:space="preserve"> </w:t>
      </w:r>
      <w:r>
        <w:rPr>
          <w:rFonts w:ascii="Times New Roman" w:eastAsia="宋体" w:hAnsi="Times New Roman" w:hint="eastAsia"/>
          <w:i/>
          <w:sz w:val="20"/>
          <w:szCs w:val="20"/>
        </w:rPr>
        <w:t>The reference point for epoch time should be satellite</w:t>
      </w:r>
      <w:r>
        <w:rPr>
          <w:rFonts w:ascii="Times New Roman" w:eastAsia="宋体" w:hAnsi="Times New Roman" w:cs="Times New Roman" w:hint="eastAsia"/>
          <w:i/>
          <w:iCs/>
          <w:sz w:val="20"/>
          <w:szCs w:val="20"/>
        </w:rPr>
        <w:t>.</w:t>
      </w:r>
    </w:p>
    <w:p w:rsidR="00EA0F38" w:rsidRDefault="0096751C">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UL frequency synchronization</w:t>
      </w:r>
    </w:p>
    <w:p w:rsidR="00EA0F38" w:rsidRDefault="0096751C">
      <w:pPr>
        <w:pStyle w:val="2"/>
        <w:numPr>
          <w:ilvl w:val="1"/>
          <w:numId w:val="8"/>
        </w:numPr>
        <w:rPr>
          <w:rFonts w:ascii="Times New Roman" w:eastAsia="宋体" w:hAnsi="Times New Roman" w:cs="Times New Roman"/>
          <w:sz w:val="20"/>
          <w:szCs w:val="20"/>
          <w:lang w:val="en-US"/>
        </w:rPr>
      </w:pPr>
      <w:r>
        <w:rPr>
          <w:rFonts w:ascii="Times New Roman" w:eastAsia="宋体" w:hAnsi="Times New Roman" w:cs="Times New Roman"/>
          <w:sz w:val="24"/>
          <w:szCs w:val="24"/>
          <w:lang w:val="en-US"/>
        </w:rPr>
        <w:t xml:space="preserve">Indication of </w:t>
      </w:r>
      <w:r>
        <w:rPr>
          <w:rFonts w:ascii="Times New Roman" w:eastAsia="宋体" w:hAnsi="Times New Roman" w:cs="Times New Roman" w:hint="eastAsia"/>
          <w:sz w:val="24"/>
          <w:szCs w:val="24"/>
          <w:lang w:val="en-US"/>
        </w:rPr>
        <w:t>common compensation frequency offset</w:t>
      </w:r>
    </w:p>
    <w:p w:rsidR="00EA0F38" w:rsidRDefault="0096751C">
      <w:pPr>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In RAN1#106b-e, whether to support and indicate the common DL frequency compensation for the service link Doppler shift was discussed but no consensus is achieved. When DL pre-compensation for the service link Doppler shift is performed, the pre-compensated value should be indicated to UE to ensure UE is able to determine the nominal TX frequency in UL</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 As restricted in TS 38.101, the total frequency error should be within </w:t>
      </w:r>
      <w:r>
        <w:rPr>
          <w:rFonts w:ascii="Times New Roman" w:hAnsi="Times New Roman"/>
          <w:sz w:val="20"/>
          <w:szCs w:val="20"/>
          <w:lang w:val="en-GB"/>
        </w:rPr>
        <w:t>±0.1</w:t>
      </w:r>
      <w:r>
        <w:rPr>
          <w:rFonts w:ascii="Times New Roman" w:eastAsia="宋体" w:hAnsi="Times New Roman" w:cs="Times New Roman" w:hint="eastAsia"/>
          <w:sz w:val="20"/>
          <w:szCs w:val="20"/>
        </w:rPr>
        <w:t xml:space="preserve"> ppm after synchronization. Since 0.1 ppm is the budget for all factors of frequency errors, the quantization error of common compensation frequency offset in indication should be further reduced and 0.01 ppm can be considered as granularity. Since the maximum Doppler is achieved under minimum elevation angle, the required bit number for indication of common compensation frequency offset on service link is 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_Ref30569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hAnsi="Times New Roman" w:cs="Times New Roman" w:hint="eastAsia"/>
          <w:sz w:val="20"/>
          <w:szCs w:val="20"/>
        </w:rPr>
        <w:t>Table 4</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w:t>
      </w:r>
    </w:p>
    <w:p w:rsidR="00EA0F38" w:rsidRDefault="0096751C">
      <w:pPr>
        <w:pStyle w:val="a3"/>
        <w:spacing w:beforeLines="50" w:before="120" w:afterLines="50"/>
        <w:ind w:leftChars="200" w:left="440"/>
        <w:rPr>
          <w:b w:val="0"/>
          <w:lang w:val="en-US"/>
        </w:rPr>
      </w:pPr>
      <w:bookmarkStart w:id="10" w:name="_Ref30569"/>
      <w:r>
        <w:rPr>
          <w:rFonts w:hint="eastAsia"/>
          <w:b w:val="0"/>
          <w:lang w:val="en-US"/>
        </w:rPr>
        <w:t xml:space="preserve">Table </w:t>
      </w:r>
      <w:r>
        <w:rPr>
          <w:rFonts w:hint="eastAsia"/>
          <w:b w:val="0"/>
          <w:lang w:val="en-US"/>
        </w:rPr>
        <w:fldChar w:fldCharType="begin"/>
      </w:r>
      <w:r>
        <w:rPr>
          <w:rFonts w:hint="eastAsia"/>
          <w:b w:val="0"/>
          <w:lang w:val="en-US"/>
        </w:rPr>
        <w:instrText xml:space="preserve"> SEQ Table \* ARABIC </w:instrText>
      </w:r>
      <w:r>
        <w:rPr>
          <w:rFonts w:hint="eastAsia"/>
          <w:b w:val="0"/>
          <w:lang w:val="en-US"/>
        </w:rPr>
        <w:fldChar w:fldCharType="separate"/>
      </w:r>
      <w:r>
        <w:rPr>
          <w:rFonts w:hint="eastAsia"/>
          <w:b w:val="0"/>
          <w:lang w:val="en-US"/>
        </w:rPr>
        <w:t>4</w:t>
      </w:r>
      <w:r>
        <w:rPr>
          <w:rFonts w:hint="eastAsia"/>
          <w:b w:val="0"/>
          <w:lang w:val="en-US"/>
        </w:rPr>
        <w:fldChar w:fldCharType="end"/>
      </w:r>
      <w:bookmarkEnd w:id="10"/>
      <w:r>
        <w:rPr>
          <w:rFonts w:hint="eastAsia"/>
          <w:b w:val="0"/>
          <w:lang w:val="en-US"/>
        </w:rPr>
        <w:t xml:space="preserve"> Required bit number for indication of common DL frequency compensation for the service link Doppler shift with 0.01 ppm granularity</w:t>
      </w:r>
    </w:p>
    <w:tbl>
      <w:tblPr>
        <w:tblStyle w:val="aa"/>
        <w:tblW w:w="7520" w:type="dxa"/>
        <w:jc w:val="center"/>
        <w:tblLayout w:type="fixed"/>
        <w:tblLook w:val="04A0" w:firstRow="1" w:lastRow="0" w:firstColumn="1" w:lastColumn="0" w:noHBand="0" w:noVBand="1"/>
      </w:tblPr>
      <w:tblGrid>
        <w:gridCol w:w="1880"/>
        <w:gridCol w:w="1880"/>
        <w:gridCol w:w="1880"/>
        <w:gridCol w:w="1880"/>
      </w:tblGrid>
      <w:tr w:rsidR="00EA0F38">
        <w:trPr>
          <w:trHeight w:val="222"/>
          <w:jc w:val="center"/>
        </w:trPr>
        <w:tc>
          <w:tcPr>
            <w:tcW w:w="1880" w:type="dxa"/>
          </w:tcPr>
          <w:p w:rsidR="00EA0F38" w:rsidRDefault="00EA0F38">
            <w:pPr>
              <w:rPr>
                <w:rFonts w:ascii="Times New Roman" w:eastAsia="宋体" w:hAnsi="Times New Roman" w:cs="Times New Roman"/>
                <w:sz w:val="20"/>
                <w:szCs w:val="20"/>
              </w:rPr>
            </w:pPr>
          </w:p>
        </w:tc>
        <w:tc>
          <w:tcPr>
            <w:tcW w:w="1880" w:type="dxa"/>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LEO-600</w:t>
            </w:r>
          </w:p>
        </w:tc>
        <w:tc>
          <w:tcPr>
            <w:tcW w:w="1880" w:type="dxa"/>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LEO-1200</w:t>
            </w:r>
          </w:p>
        </w:tc>
        <w:tc>
          <w:tcPr>
            <w:tcW w:w="1880" w:type="dxa"/>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GEO</w:t>
            </w:r>
          </w:p>
        </w:tc>
      </w:tr>
      <w:tr w:rsidR="00EA0F38">
        <w:trPr>
          <w:trHeight w:val="228"/>
          <w:jc w:val="center"/>
        </w:trPr>
        <w:tc>
          <w:tcPr>
            <w:tcW w:w="1880" w:type="dxa"/>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Upper bound of Doppler</w:t>
            </w:r>
          </w:p>
        </w:tc>
        <w:tc>
          <w:tcPr>
            <w:tcW w:w="1880" w:type="dxa"/>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22.7 ppm</w:t>
            </w:r>
          </w:p>
        </w:tc>
        <w:tc>
          <w:tcPr>
            <w:tcW w:w="1880" w:type="dxa"/>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20.1 ppm</w:t>
            </w:r>
          </w:p>
        </w:tc>
        <w:tc>
          <w:tcPr>
            <w:tcW w:w="1880" w:type="dxa"/>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w:t>
            </w:r>
          </w:p>
        </w:tc>
      </w:tr>
      <w:tr w:rsidR="00EA0F38">
        <w:trPr>
          <w:trHeight w:val="582"/>
          <w:jc w:val="center"/>
        </w:trPr>
        <w:tc>
          <w:tcPr>
            <w:tcW w:w="1880" w:type="dxa"/>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Required bit number for indicating frequency </w:t>
            </w:r>
          </w:p>
        </w:tc>
        <w:tc>
          <w:tcPr>
            <w:tcW w:w="1880"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12</w:t>
            </w:r>
          </w:p>
        </w:tc>
        <w:tc>
          <w:tcPr>
            <w:tcW w:w="1880"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11</w:t>
            </w:r>
          </w:p>
        </w:tc>
        <w:tc>
          <w:tcPr>
            <w:tcW w:w="1880" w:type="dxa"/>
            <w:vAlign w:val="center"/>
          </w:tcPr>
          <w:p w:rsidR="00EA0F38" w:rsidRDefault="0096751C">
            <w:pPr>
              <w:jc w:val="center"/>
              <w:rPr>
                <w:rFonts w:ascii="Times New Roman" w:eastAsia="宋体" w:hAnsi="Times New Roman" w:cs="Times New Roman"/>
                <w:sz w:val="20"/>
                <w:szCs w:val="20"/>
              </w:rPr>
            </w:pPr>
            <w:r>
              <w:rPr>
                <w:rFonts w:ascii="Times New Roman" w:eastAsia="宋体" w:hAnsi="Times New Roman" w:cs="Times New Roman" w:hint="eastAsia"/>
                <w:sz w:val="20"/>
                <w:szCs w:val="20"/>
              </w:rPr>
              <w:t>0</w:t>
            </w:r>
          </w:p>
        </w:tc>
      </w:tr>
    </w:tbl>
    <w:p w:rsidR="00EA0F38" w:rsidRDefault="0096751C">
      <w:pPr>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For earth-fixed scenario, the maximum Doppler drift rate can be as large as 0.27 ppm/s for LEO-600 as shown in TR 38.821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_Ref24082 \w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[4]</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xml:space="preserve">. In this case, the indicated common DL frequency may need to be updated with a period of few seconds to ensure the error is within 0.1 ppm tolerable range. By indicating a Doppler drift rate or directly indicating position of reference point could reduce the update frequency but more advanced signaling design is required. </w:t>
      </w:r>
    </w:p>
    <w:p w:rsidR="00EA0F38" w:rsidRDefault="0096751C">
      <w:pPr>
        <w:ind w:leftChars="200" w:left="440"/>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TR 38.821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_Ref24082 \w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[4]</w:t>
      </w:r>
      <w:r>
        <w:rPr>
          <w:rFonts w:ascii="Times New Roman" w:eastAsia="宋体" w:hAnsi="Times New Roman" w:cs="Times New Roman" w:hint="eastAsia"/>
          <w:sz w:val="20"/>
          <w:szCs w:val="20"/>
        </w:rPr>
        <w:fldChar w:fldCharType="end"/>
      </w:r>
      <w:r>
        <w:rPr>
          <w:rFonts w:ascii="Times New Roman" w:eastAsia="宋体" w:hAnsi="Times New Roman" w:cs="Times New Roman" w:hint="eastAsia"/>
          <w:sz w:val="20"/>
          <w:szCs w:val="20"/>
        </w:rPr>
        <w:t>, it has been concluded that robust DL initial synchronization performance based on Rel-15 SSB can be achieved without DL pre-compensation at the cost of higher UE complexity. Therefore, DL frequency compensation for service link is not an essential issue. With consideration on limited time, it is recommended to deprioritize support of this feature in Rel-17.</w:t>
      </w:r>
    </w:p>
    <w:p w:rsidR="00EA0F38" w:rsidRDefault="0096751C">
      <w:pPr>
        <w:ind w:leftChars="200" w:left="440"/>
        <w:jc w:val="both"/>
        <w:rPr>
          <w:rFonts w:eastAsia="黑体" w:cs="Times New Roman"/>
          <w:b/>
          <w:bCs/>
          <w:sz w:val="28"/>
          <w:szCs w:val="3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15: </w:t>
      </w:r>
      <w:r>
        <w:rPr>
          <w:rFonts w:ascii="Times New Roman" w:eastAsia="宋体" w:hAnsi="Times New Roman" w:hint="eastAsia"/>
          <w:i/>
          <w:sz w:val="20"/>
          <w:szCs w:val="20"/>
        </w:rPr>
        <w:t>With consideration on the limited time, it is recommended to deprioritize support of common DL frequency compensation for the service link Doppler shift in Rel-17</w:t>
      </w:r>
      <w:r>
        <w:rPr>
          <w:rFonts w:ascii="Times New Roman" w:eastAsia="宋体" w:hAnsi="Times New Roman"/>
          <w:i/>
          <w:sz w:val="20"/>
          <w:szCs w:val="20"/>
        </w:rPr>
        <w:t>.</w:t>
      </w:r>
    </w:p>
    <w:p w:rsidR="00EA0F38" w:rsidRDefault="0096751C">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lastRenderedPageBreak/>
        <w:t>Satellite ephemeris indication</w:t>
      </w:r>
    </w:p>
    <w:p w:rsidR="00EA0F38" w:rsidRDefault="0096751C">
      <w:pPr>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In RAN1#106e-bis, the bits allocation for serving satellite ephemeris for LEO/MEO/GEO is assumed to be 17 bytes for PV format, and 18 bytes for orbital parameter format. The bit allocation for HAPS is still undetermined. Additional overhead reduction method is still welcomed.</w:t>
      </w:r>
    </w:p>
    <w:p w:rsidR="00EA0F38" w:rsidRDefault="0096751C">
      <w:pPr>
        <w:pStyle w:val="2"/>
        <w:numPr>
          <w:ilvl w:val="1"/>
          <w:numId w:val="17"/>
        </w:numPr>
        <w:rPr>
          <w:rFonts w:ascii="Times New Roman" w:eastAsia="宋体" w:hAnsi="Times New Roman" w:cs="Times New Roman"/>
          <w:sz w:val="24"/>
          <w:szCs w:val="24"/>
          <w:lang w:val="en-US"/>
        </w:rPr>
      </w:pPr>
      <w:r>
        <w:rPr>
          <w:rFonts w:ascii="Times New Roman" w:eastAsia="宋体" w:hAnsi="Times New Roman" w:cs="Times New Roman" w:hint="eastAsia"/>
          <w:sz w:val="24"/>
          <w:szCs w:val="24"/>
          <w:lang w:val="en-US"/>
        </w:rPr>
        <w:t>Bit allocation for HAPS</w:t>
      </w:r>
    </w:p>
    <w:p w:rsidR="00EA0F38" w:rsidRDefault="0096751C">
      <w:pPr>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Only PV format can be used to indicate ephemeris in HAPS. Without loss of generality, assume the HAPS</w:t>
      </w:r>
      <w:r>
        <w:rPr>
          <w:rFonts w:ascii="Times New Roman" w:eastAsia="宋体" w:hAnsi="Times New Roman" w:cs="Times New Roman"/>
          <w:sz w:val="20"/>
          <w:szCs w:val="20"/>
        </w:rPr>
        <w:t>’</w:t>
      </w:r>
      <w:r>
        <w:rPr>
          <w:rFonts w:ascii="Times New Roman" w:eastAsia="宋体" w:hAnsi="Times New Roman" w:cs="Times New Roman" w:hint="eastAsia"/>
          <w:sz w:val="20"/>
          <w:szCs w:val="20"/>
        </w:rPr>
        <w:t>s altitude is 20-50km, and velocity is smaller than 100km/h. A HAPS only has limited visible region, it is a large waste to indicate its position in a global way. A better solution is to take advantage of the limited visible region, and represent the position in a relative way</w:t>
      </w:r>
      <w:r>
        <w:rPr>
          <w:rFonts w:ascii="Times New Roman" w:eastAsia="宋体" w:hAnsi="Times New Roman" w:cs="Times New Roman"/>
          <w:sz w:val="20"/>
          <w:szCs w:val="20"/>
        </w:rPr>
        <w:t xml:space="preserve">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_Ref30610 \r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[5]</w:t>
      </w:r>
      <w:r>
        <w:rPr>
          <w:rFonts w:ascii="Times New Roman" w:eastAsia="宋体" w:hAnsi="Times New Roman" w:cs="Times New Roman"/>
          <w:sz w:val="20"/>
          <w:szCs w:val="20"/>
        </w:rPr>
        <w:fldChar w:fldCharType="end"/>
      </w:r>
      <w:r>
        <w:rPr>
          <w:rFonts w:ascii="Times New Roman" w:eastAsia="宋体" w:hAnsi="Times New Roman" w:cs="Times New Roman" w:hint="eastAsia"/>
          <w:sz w:val="20"/>
          <w:szCs w:val="20"/>
        </w:rPr>
        <w:t>. Then</w:t>
      </w:r>
      <w:r>
        <w:rPr>
          <w:rFonts w:ascii="Times New Roman" w:eastAsia="宋体" w:hAnsi="Times New Roman" w:cs="Times New Roman"/>
          <w:sz w:val="20"/>
          <w:szCs w:val="20"/>
        </w:rPr>
        <w:t xml:space="preserve"> the required bits for PV format of HAPS is analyzed in Appendix</w:t>
      </w:r>
      <w:r>
        <w:rPr>
          <w:rFonts w:ascii="Times New Roman" w:eastAsia="宋体" w:hAnsi="Times New Roman" w:cs="Times New Roman" w:hint="eastAsia"/>
          <w:sz w:val="20"/>
          <w:szCs w:val="20"/>
        </w:rPr>
        <w:t xml:space="preserve"> </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_Ref21094 \r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hint="eastAsia"/>
          <w:sz w:val="20"/>
          <w:szCs w:val="20"/>
        </w:rPr>
        <w:t>6.1</w:t>
      </w:r>
      <w:r>
        <w:rPr>
          <w:rFonts w:ascii="Times New Roman" w:eastAsia="宋体" w:hAnsi="Times New Roman" w:cs="Times New Roman" w:hint="eastAsia"/>
          <w:sz w:val="20"/>
          <w:szCs w:val="20"/>
        </w:rPr>
        <w:fldChar w:fldCharType="end"/>
      </w:r>
      <w:r>
        <w:rPr>
          <w:rFonts w:ascii="Times New Roman" w:eastAsia="宋体" w:hAnsi="Times New Roman" w:cs="Times New Roman"/>
          <w:sz w:val="20"/>
          <w:szCs w:val="20"/>
        </w:rPr>
        <w:t xml:space="preserve"> and listed as follows.</w:t>
      </w:r>
    </w:p>
    <w:p w:rsidR="00EA0F38" w:rsidRDefault="0096751C">
      <w:pPr>
        <w:numPr>
          <w:ilvl w:val="0"/>
          <w:numId w:val="18"/>
        </w:numPr>
        <w:rPr>
          <w:rFonts w:ascii="Times New Roman" w:hAnsi="Times New Roman" w:cs="Times New Roman"/>
          <w:bCs/>
          <w:sz w:val="20"/>
          <w:szCs w:val="20"/>
          <w:lang w:eastAsia="zh-TW"/>
        </w:rPr>
      </w:pPr>
      <w:r>
        <w:rPr>
          <w:rFonts w:ascii="Times New Roman" w:hAnsi="Times New Roman" w:cs="Times New Roman"/>
          <w:bCs/>
          <w:sz w:val="20"/>
          <w:szCs w:val="20"/>
          <w:lang w:eastAsia="zh-TW"/>
        </w:rPr>
        <w:t>The field size for position [m]  is [</w:t>
      </w:r>
      <w:r>
        <w:rPr>
          <w:rFonts w:ascii="Times New Roman" w:hAnsi="Times New Roman" w:cs="Times New Roman" w:hint="eastAsia"/>
          <w:bCs/>
          <w:sz w:val="20"/>
          <w:szCs w:val="20"/>
        </w:rPr>
        <w:t>51</w:t>
      </w:r>
      <w:r>
        <w:rPr>
          <w:rFonts w:ascii="Times New Roman" w:hAnsi="Times New Roman" w:cs="Times New Roman"/>
          <w:bCs/>
          <w:sz w:val="20"/>
          <w:szCs w:val="20"/>
          <w:lang w:eastAsia="zh-TW"/>
        </w:rPr>
        <w:t xml:space="preserve"> bits]</w:t>
      </w:r>
    </w:p>
    <w:p w:rsidR="00EA0F38" w:rsidRDefault="0096751C">
      <w:pPr>
        <w:numPr>
          <w:ilvl w:val="1"/>
          <w:numId w:val="18"/>
        </w:numPr>
        <w:rPr>
          <w:rFonts w:ascii="Times New Roman" w:hAnsi="Times New Roman" w:cs="Times New Roman"/>
          <w:bCs/>
          <w:sz w:val="20"/>
          <w:szCs w:val="20"/>
          <w:lang w:eastAsia="zh-TW"/>
        </w:rPr>
      </w:pPr>
      <w:r>
        <w:rPr>
          <w:rFonts w:ascii="Times New Roman" w:hAnsi="Times New Roman" w:cs="Times New Roman"/>
          <w:bCs/>
          <w:sz w:val="20"/>
          <w:szCs w:val="20"/>
          <w:lang w:eastAsia="zh-TW"/>
        </w:rPr>
        <w:t xml:space="preserve">Position range is driven by </w:t>
      </w:r>
      <w:r>
        <w:rPr>
          <w:rFonts w:ascii="Times New Roman" w:hAnsi="Times New Roman" w:cs="Times New Roman" w:hint="eastAsia"/>
          <w:bCs/>
          <w:sz w:val="20"/>
          <w:szCs w:val="20"/>
        </w:rPr>
        <w:t xml:space="preserve">altitude and minimum elevation angle, as shown in Appendix </w:t>
      </w:r>
      <w:r>
        <w:rPr>
          <w:rFonts w:ascii="Times New Roman" w:hAnsi="Times New Roman" w:cs="Times New Roman" w:hint="eastAsia"/>
          <w:bCs/>
          <w:sz w:val="20"/>
          <w:szCs w:val="20"/>
        </w:rPr>
        <w:fldChar w:fldCharType="begin"/>
      </w:r>
      <w:r>
        <w:rPr>
          <w:rFonts w:ascii="Times New Roman" w:hAnsi="Times New Roman" w:cs="Times New Roman" w:hint="eastAsia"/>
          <w:bCs/>
          <w:sz w:val="20"/>
          <w:szCs w:val="20"/>
        </w:rPr>
        <w:instrText xml:space="preserve"> REF _Ref21094 \n \h </w:instrText>
      </w:r>
      <w:r>
        <w:rPr>
          <w:rFonts w:ascii="Times New Roman" w:hAnsi="Times New Roman" w:cs="Times New Roman" w:hint="eastAsia"/>
          <w:bCs/>
          <w:sz w:val="20"/>
          <w:szCs w:val="20"/>
        </w:rPr>
      </w:r>
      <w:r>
        <w:rPr>
          <w:rFonts w:ascii="Times New Roman" w:hAnsi="Times New Roman" w:cs="Times New Roman" w:hint="eastAsia"/>
          <w:bCs/>
          <w:sz w:val="20"/>
          <w:szCs w:val="20"/>
        </w:rPr>
        <w:fldChar w:fldCharType="separate"/>
      </w:r>
      <w:r>
        <w:rPr>
          <w:rFonts w:ascii="Times New Roman" w:hAnsi="Times New Roman" w:cs="Times New Roman" w:hint="eastAsia"/>
          <w:bCs/>
          <w:sz w:val="20"/>
          <w:szCs w:val="20"/>
        </w:rPr>
        <w:t>6.1</w:t>
      </w:r>
      <w:r>
        <w:rPr>
          <w:rFonts w:ascii="Times New Roman" w:hAnsi="Times New Roman" w:cs="Times New Roman" w:hint="eastAsia"/>
          <w:bCs/>
          <w:sz w:val="20"/>
          <w:szCs w:val="20"/>
        </w:rPr>
        <w:fldChar w:fldCharType="end"/>
      </w:r>
    </w:p>
    <w:p w:rsidR="00EA0F38" w:rsidRDefault="0096751C">
      <w:pPr>
        <w:numPr>
          <w:ilvl w:val="1"/>
          <w:numId w:val="18"/>
        </w:numPr>
        <w:rPr>
          <w:rFonts w:ascii="Times New Roman" w:hAnsi="Times New Roman" w:cs="Times New Roman"/>
          <w:bCs/>
          <w:sz w:val="20"/>
          <w:szCs w:val="20"/>
          <w:lang w:eastAsia="zh-TW"/>
        </w:rPr>
      </w:pPr>
      <w:r>
        <w:rPr>
          <w:rFonts w:ascii="Times New Roman" w:hAnsi="Times New Roman" w:cs="Times New Roman"/>
          <w:bCs/>
          <w:sz w:val="20"/>
          <w:szCs w:val="20"/>
          <w:lang w:eastAsia="zh-TW"/>
        </w:rPr>
        <w:t>The quantization step is [1.3m] for position</w:t>
      </w:r>
    </w:p>
    <w:p w:rsidR="00EA0F38" w:rsidRDefault="0096751C">
      <w:pPr>
        <w:numPr>
          <w:ilvl w:val="0"/>
          <w:numId w:val="18"/>
        </w:numPr>
        <w:rPr>
          <w:rFonts w:ascii="Times New Roman" w:hAnsi="Times New Roman" w:cs="Times New Roman"/>
          <w:bCs/>
          <w:sz w:val="20"/>
          <w:szCs w:val="20"/>
          <w:lang w:eastAsia="zh-TW"/>
        </w:rPr>
      </w:pPr>
      <w:r>
        <w:rPr>
          <w:rFonts w:ascii="Times New Roman" w:hAnsi="Times New Roman" w:cs="Times New Roman"/>
          <w:bCs/>
          <w:sz w:val="20"/>
          <w:szCs w:val="20"/>
          <w:lang w:eastAsia="zh-TW"/>
        </w:rPr>
        <w:t xml:space="preserve">The field size for velocity [m/s] is </w:t>
      </w:r>
      <w:r>
        <w:rPr>
          <w:rFonts w:ascii="Times New Roman" w:hAnsi="Times New Roman" w:cs="Times New Roman" w:hint="eastAsia"/>
          <w:bCs/>
          <w:sz w:val="20"/>
          <w:szCs w:val="20"/>
        </w:rPr>
        <w:t>[ 27</w:t>
      </w:r>
      <w:r>
        <w:rPr>
          <w:rFonts w:ascii="Times New Roman" w:hAnsi="Times New Roman" w:cs="Times New Roman"/>
          <w:bCs/>
          <w:sz w:val="20"/>
          <w:szCs w:val="20"/>
          <w:lang w:eastAsia="zh-TW"/>
        </w:rPr>
        <w:t xml:space="preserve"> bits]</w:t>
      </w:r>
    </w:p>
    <w:p w:rsidR="00EA0F38" w:rsidRDefault="0096751C">
      <w:pPr>
        <w:numPr>
          <w:ilvl w:val="1"/>
          <w:numId w:val="18"/>
        </w:numPr>
        <w:rPr>
          <w:rFonts w:ascii="Times New Roman" w:hAnsi="Times New Roman" w:cs="Times New Roman"/>
          <w:bCs/>
          <w:sz w:val="20"/>
          <w:szCs w:val="20"/>
          <w:lang w:eastAsia="zh-TW"/>
        </w:rPr>
      </w:pPr>
      <w:r>
        <w:rPr>
          <w:rFonts w:ascii="Times New Roman" w:hAnsi="Times New Roman" w:cs="Times New Roman"/>
          <w:bCs/>
          <w:sz w:val="20"/>
          <w:szCs w:val="20"/>
          <w:lang w:eastAsia="zh-TW"/>
        </w:rPr>
        <w:t xml:space="preserve">Velocity range is driven by </w:t>
      </w:r>
      <w:r>
        <w:rPr>
          <w:rFonts w:ascii="Times New Roman" w:hAnsi="Times New Roman" w:cs="Times New Roman" w:hint="eastAsia"/>
          <w:bCs/>
          <w:sz w:val="20"/>
          <w:szCs w:val="20"/>
        </w:rPr>
        <w:t>a maximal velocity of</w:t>
      </w:r>
      <w:r>
        <w:rPr>
          <w:rFonts w:ascii="Times New Roman" w:hAnsi="Times New Roman" w:cs="Times New Roman"/>
          <w:bCs/>
          <w:sz w:val="20"/>
          <w:szCs w:val="20"/>
          <w:lang w:eastAsia="zh-TW"/>
        </w:rPr>
        <w:t xml:space="preserve"> </w:t>
      </w:r>
      <w:r>
        <w:rPr>
          <w:rFonts w:ascii="Times New Roman" w:hAnsi="Times New Roman" w:cs="Times New Roman" w:hint="eastAsia"/>
          <w:bCs/>
          <w:sz w:val="20"/>
          <w:szCs w:val="20"/>
        </w:rPr>
        <w:t>100km/h</w:t>
      </w:r>
    </w:p>
    <w:p w:rsidR="00EA0F38" w:rsidRDefault="0096751C">
      <w:pPr>
        <w:numPr>
          <w:ilvl w:val="1"/>
          <w:numId w:val="18"/>
        </w:numPr>
        <w:rPr>
          <w:rFonts w:ascii="Times New Roman" w:hAnsi="Times New Roman" w:cs="Times New Roman"/>
          <w:bCs/>
          <w:sz w:val="20"/>
          <w:szCs w:val="20"/>
          <w:lang w:eastAsia="zh-TW"/>
        </w:rPr>
      </w:pPr>
      <w:r>
        <w:rPr>
          <w:rFonts w:ascii="Times New Roman" w:hAnsi="Times New Roman" w:cs="Times New Roman"/>
          <w:bCs/>
          <w:sz w:val="20"/>
          <w:szCs w:val="20"/>
          <w:lang w:eastAsia="zh-TW"/>
        </w:rPr>
        <w:t>The quantization step is [0.06 m/s] for Velocity</w:t>
      </w:r>
    </w:p>
    <w:p w:rsidR="00EA0F38" w:rsidRDefault="0096751C">
      <w:pPr>
        <w:ind w:leftChars="200" w:left="440"/>
        <w:rPr>
          <w:rFonts w:ascii="Times New Roman" w:hAnsi="Times New Roman" w:cs="Times New Roman"/>
          <w:i/>
          <w:sz w:val="20"/>
          <w:szCs w:val="20"/>
        </w:rPr>
      </w:pPr>
      <w:r>
        <w:rPr>
          <w:rFonts w:ascii="Times New Roman" w:hAnsi="Times New Roman" w:cs="Times New Roman" w:hint="eastAsia"/>
          <w:b/>
          <w:i/>
          <w:sz w:val="20"/>
          <w:szCs w:val="20"/>
        </w:rPr>
        <w:t>Proposal</w:t>
      </w:r>
      <w:r>
        <w:rPr>
          <w:rFonts w:ascii="Times New Roman" w:hAnsi="Times New Roman" w:cs="Times New Roman"/>
          <w:b/>
          <w:i/>
          <w:sz w:val="20"/>
          <w:szCs w:val="20"/>
        </w:rPr>
        <w:t xml:space="preserve"> </w:t>
      </w:r>
      <w:r>
        <w:rPr>
          <w:rFonts w:ascii="Times New Roman" w:hAnsi="Times New Roman" w:cs="Times New Roman" w:hint="eastAsia"/>
          <w:b/>
          <w:i/>
          <w:sz w:val="20"/>
          <w:szCs w:val="20"/>
        </w:rPr>
        <w:t>16</w:t>
      </w:r>
      <w:r>
        <w:rPr>
          <w:rFonts w:ascii="Times New Roman" w:hAnsi="Times New Roman" w:cs="Times New Roman"/>
          <w:b/>
          <w:i/>
          <w:sz w:val="20"/>
          <w:szCs w:val="20"/>
        </w:rPr>
        <w:t>:</w:t>
      </w:r>
      <w:r>
        <w:rPr>
          <w:rFonts w:ascii="Times New Roman" w:hAnsi="Times New Roman" w:cs="Times New Roman" w:hint="eastAsia"/>
          <w:i/>
          <w:sz w:val="20"/>
          <w:szCs w:val="20"/>
        </w:rPr>
        <w:t xml:space="preserve"> Use relative position in HAPS ephemeris to take advantages of the limited visible region</w:t>
      </w:r>
    </w:p>
    <w:p w:rsidR="00EA0F38" w:rsidRDefault="0096751C">
      <w:pPr>
        <w:ind w:leftChars="200" w:left="440"/>
        <w:rPr>
          <w:rFonts w:ascii="Times New Roman" w:hAnsi="Times New Roman" w:cs="Times New Roman"/>
          <w:i/>
          <w:sz w:val="20"/>
          <w:szCs w:val="20"/>
        </w:rPr>
      </w:pPr>
      <w:r>
        <w:rPr>
          <w:rFonts w:ascii="Times New Roman" w:hAnsi="Times New Roman" w:cs="Times New Roman" w:hint="eastAsia"/>
          <w:b/>
          <w:i/>
          <w:sz w:val="20"/>
          <w:szCs w:val="20"/>
        </w:rPr>
        <w:t>Proposal</w:t>
      </w:r>
      <w:r>
        <w:rPr>
          <w:rFonts w:ascii="Times New Roman" w:hAnsi="Times New Roman" w:cs="Times New Roman"/>
          <w:b/>
          <w:i/>
          <w:sz w:val="20"/>
          <w:szCs w:val="20"/>
        </w:rPr>
        <w:t xml:space="preserve"> </w:t>
      </w:r>
      <w:r>
        <w:rPr>
          <w:rFonts w:ascii="Times New Roman" w:hAnsi="Times New Roman" w:cs="Times New Roman" w:hint="eastAsia"/>
          <w:b/>
          <w:i/>
          <w:sz w:val="20"/>
          <w:szCs w:val="20"/>
        </w:rPr>
        <w:t>17</w:t>
      </w:r>
      <w:r>
        <w:rPr>
          <w:rFonts w:ascii="Times New Roman" w:hAnsi="Times New Roman" w:cs="Times New Roman"/>
          <w:b/>
          <w:i/>
          <w:sz w:val="20"/>
          <w:szCs w:val="20"/>
        </w:rPr>
        <w:t>:</w:t>
      </w:r>
      <w:r>
        <w:rPr>
          <w:rFonts w:ascii="Times New Roman" w:hAnsi="Times New Roman" w:cs="Times New Roman" w:hint="eastAsia"/>
          <w:i/>
          <w:sz w:val="20"/>
          <w:szCs w:val="20"/>
        </w:rPr>
        <w:t xml:space="preserve"> Allocate 78 bits for HAPS ephemeris</w:t>
      </w:r>
    </w:p>
    <w:p w:rsidR="00EA0F38" w:rsidRDefault="0096751C">
      <w:pPr>
        <w:pStyle w:val="2"/>
        <w:numPr>
          <w:ilvl w:val="1"/>
          <w:numId w:val="17"/>
        </w:numPr>
        <w:rPr>
          <w:rFonts w:ascii="Times New Roman" w:eastAsia="宋体" w:hAnsi="Times New Roman" w:cs="Times New Roman"/>
          <w:sz w:val="24"/>
          <w:szCs w:val="24"/>
          <w:lang w:val="en-US"/>
        </w:rPr>
      </w:pPr>
      <w:r>
        <w:rPr>
          <w:rFonts w:ascii="Times New Roman" w:eastAsia="宋体" w:hAnsi="Times New Roman" w:cs="Times New Roman" w:hint="eastAsia"/>
          <w:sz w:val="24"/>
          <w:szCs w:val="24"/>
          <w:lang w:val="en-US"/>
        </w:rPr>
        <w:t>Additional enhancement to reduce signalling overhead</w:t>
      </w:r>
    </w:p>
    <w:p w:rsidR="00EA0F38" w:rsidRDefault="0096751C">
      <w:pPr>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The working assumption in RAN1#106e-bis is able to indicate any position within the range of +/-42200km in each axis. However, f</w:t>
      </w:r>
      <w:r>
        <w:rPr>
          <w:rFonts w:ascii="Times New Roman" w:eastAsia="宋体" w:hAnsi="Times New Roman" w:cs="Times New Roman"/>
          <w:sz w:val="20"/>
          <w:szCs w:val="20"/>
        </w:rPr>
        <w:t xml:space="preserve">or certain type of </w:t>
      </w:r>
      <w:r>
        <w:rPr>
          <w:rFonts w:ascii="Times New Roman" w:eastAsia="宋体" w:hAnsi="Times New Roman" w:cs="Times New Roman" w:hint="eastAsia"/>
          <w:sz w:val="20"/>
          <w:szCs w:val="20"/>
        </w:rPr>
        <w:t>network</w:t>
      </w:r>
      <w:r>
        <w:rPr>
          <w:rFonts w:ascii="Times New Roman" w:eastAsia="宋体" w:hAnsi="Times New Roman" w:cs="Times New Roman"/>
          <w:sz w:val="20"/>
          <w:szCs w:val="20"/>
        </w:rPr>
        <w:t xml:space="preserve">, e.g., LEO-600, it may only move within the altitude of 600±x km </w:t>
      </w:r>
      <w:r>
        <w:rPr>
          <w:rFonts w:ascii="Times New Roman" w:eastAsia="宋体" w:hAnsi="Times New Roman" w:cs="Times New Roman" w:hint="eastAsia"/>
          <w:sz w:val="20"/>
          <w:szCs w:val="20"/>
        </w:rPr>
        <w:t>like</w:t>
      </w:r>
      <w:r>
        <w:rPr>
          <w:rFonts w:ascii="Times New Roman" w:eastAsia="宋体" w:hAnsi="Times New Roman" w:cs="Times New Roman"/>
          <w:sz w:val="20"/>
          <w:szCs w:val="20"/>
        </w:rPr>
        <w:t xml:space="preserve"> a spherical shell</w:t>
      </w:r>
      <w:r>
        <w:rPr>
          <w:rFonts w:ascii="Times New Roman" w:eastAsia="宋体" w:hAnsi="Times New Roman" w:cs="Times New Roman" w:hint="eastAsia"/>
          <w:sz w:val="20"/>
          <w:szCs w:val="20"/>
        </w:rPr>
        <w:t>. Bits allocation can be reduced if the bits number is different for different network type. It is worth noting that extra signalling to indicate vehicle type may be unnecessary. Generally a UE is aware of the network type when it tries to access a network. The network type may be deduced based on the PLMN id, common TA value, and so on. For example, in LEO-600 the indicated common TA value is significantly smaller than that of the MEO-1200.</w:t>
      </w:r>
    </w:p>
    <w:p w:rsidR="00EA0F38" w:rsidRDefault="0096751C">
      <w:pPr>
        <w:ind w:leftChars="200" w:left="440"/>
        <w:rPr>
          <w:rFonts w:ascii="Times New Roman" w:hAnsi="Times New Roman" w:cs="Times New Roman"/>
          <w:i/>
          <w:sz w:val="20"/>
          <w:szCs w:val="20"/>
        </w:rPr>
      </w:pPr>
      <w:r>
        <w:rPr>
          <w:rFonts w:ascii="Times New Roman" w:hAnsi="Times New Roman" w:cs="Times New Roman" w:hint="eastAsia"/>
          <w:b/>
          <w:i/>
          <w:sz w:val="20"/>
          <w:szCs w:val="20"/>
        </w:rPr>
        <w:t>Proposal</w:t>
      </w:r>
      <w:r>
        <w:rPr>
          <w:rFonts w:ascii="Times New Roman" w:hAnsi="Times New Roman" w:cs="Times New Roman"/>
          <w:b/>
          <w:i/>
          <w:sz w:val="20"/>
          <w:szCs w:val="20"/>
        </w:rPr>
        <w:t xml:space="preserve"> </w:t>
      </w:r>
      <w:r>
        <w:rPr>
          <w:rFonts w:ascii="Times New Roman" w:hAnsi="Times New Roman" w:cs="Times New Roman" w:hint="eastAsia"/>
          <w:b/>
          <w:i/>
          <w:sz w:val="20"/>
          <w:szCs w:val="20"/>
        </w:rPr>
        <w:t>18</w:t>
      </w:r>
      <w:r>
        <w:rPr>
          <w:rFonts w:ascii="Times New Roman" w:hAnsi="Times New Roman" w:cs="Times New Roman"/>
          <w:b/>
          <w:i/>
          <w:sz w:val="20"/>
          <w:szCs w:val="20"/>
        </w:rPr>
        <w:t>:</w:t>
      </w:r>
      <w:r>
        <w:rPr>
          <w:rFonts w:ascii="Times New Roman" w:hAnsi="Times New Roman" w:cs="Times New Roman" w:hint="eastAsia"/>
          <w:i/>
          <w:sz w:val="20"/>
          <w:szCs w:val="20"/>
        </w:rPr>
        <w:t xml:space="preserve"> Different network types may have different allocated bits number, to further reduce the signalling overhead.</w:t>
      </w:r>
    </w:p>
    <w:p w:rsidR="00EA0F38" w:rsidRDefault="0096751C">
      <w:pPr>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The relative representation of position is also valid for satellite network. Suppose a UE won</w:t>
      </w:r>
      <w:r>
        <w:rPr>
          <w:rFonts w:ascii="Times New Roman" w:eastAsia="宋体" w:hAnsi="Times New Roman" w:cs="Times New Roman"/>
          <w:sz w:val="20"/>
          <w:szCs w:val="20"/>
        </w:rPr>
        <w:t>’</w:t>
      </w:r>
      <w:r>
        <w:rPr>
          <w:rFonts w:ascii="Times New Roman" w:eastAsia="宋体" w:hAnsi="Times New Roman" w:cs="Times New Roman" w:hint="eastAsia"/>
          <w:sz w:val="20"/>
          <w:szCs w:val="20"/>
        </w:rPr>
        <w:t xml:space="preserve">t try to access a satellite when it is not covered by the beam. In case of LEO-600 satellite with Set-4 simulation parameters, the diameter of visible region is 766km. </w:t>
      </w:r>
      <w:proofErr w:type="gramStart"/>
      <w:r>
        <w:rPr>
          <w:rFonts w:ascii="Times New Roman" w:eastAsia="宋体" w:hAnsi="Times New Roman" w:cs="Times New Roman" w:hint="eastAsia"/>
          <w:sz w:val="20"/>
          <w:szCs w:val="20"/>
        </w:rPr>
        <w:t>Comparing</w:t>
      </w:r>
      <w:proofErr w:type="gramEnd"/>
      <w:r>
        <w:rPr>
          <w:rFonts w:ascii="Times New Roman" w:eastAsia="宋体" w:hAnsi="Times New Roman" w:cs="Times New Roman" w:hint="eastAsia"/>
          <w:sz w:val="20"/>
          <w:szCs w:val="20"/>
        </w:rPr>
        <w:t xml:space="preserve"> with the 26bits for +/-42200km, only 20 bits are needed to represent each axis in relative position.</w:t>
      </w:r>
    </w:p>
    <w:p w:rsidR="00EA0F38" w:rsidRDefault="0096751C">
      <w:pPr>
        <w:ind w:leftChars="200" w:left="440"/>
        <w:rPr>
          <w:rFonts w:ascii="Times New Roman" w:hAnsi="Times New Roman" w:cs="Times New Roman"/>
          <w:i/>
          <w:sz w:val="20"/>
          <w:szCs w:val="20"/>
        </w:rPr>
      </w:pPr>
      <w:r>
        <w:rPr>
          <w:rFonts w:ascii="Times New Roman" w:hAnsi="Times New Roman" w:cs="Times New Roman" w:hint="eastAsia"/>
          <w:b/>
          <w:i/>
          <w:sz w:val="20"/>
          <w:szCs w:val="20"/>
        </w:rPr>
        <w:t>Proposal</w:t>
      </w:r>
      <w:r>
        <w:rPr>
          <w:rFonts w:ascii="Times New Roman" w:hAnsi="Times New Roman" w:cs="Times New Roman"/>
          <w:b/>
          <w:i/>
          <w:sz w:val="20"/>
          <w:szCs w:val="20"/>
        </w:rPr>
        <w:t xml:space="preserve"> </w:t>
      </w:r>
      <w:r>
        <w:rPr>
          <w:rFonts w:ascii="Times New Roman" w:hAnsi="Times New Roman" w:cs="Times New Roman" w:hint="eastAsia"/>
          <w:b/>
          <w:i/>
          <w:sz w:val="20"/>
          <w:szCs w:val="20"/>
        </w:rPr>
        <w:t>19</w:t>
      </w:r>
      <w:r>
        <w:rPr>
          <w:rFonts w:ascii="Times New Roman" w:hAnsi="Times New Roman" w:cs="Times New Roman"/>
          <w:b/>
          <w:i/>
          <w:sz w:val="20"/>
          <w:szCs w:val="20"/>
        </w:rPr>
        <w:t>:</w:t>
      </w:r>
      <w:r>
        <w:rPr>
          <w:rFonts w:ascii="Times New Roman" w:hAnsi="Times New Roman" w:cs="Times New Roman" w:hint="eastAsia"/>
          <w:i/>
          <w:sz w:val="20"/>
          <w:szCs w:val="20"/>
        </w:rPr>
        <w:t xml:space="preserve"> Considering relative position in satellite ephemeris to further reduce signalling overhead.</w:t>
      </w:r>
    </w:p>
    <w:p w:rsidR="00EA0F38" w:rsidRDefault="0096751C">
      <w:pPr>
        <w:tabs>
          <w:tab w:val="left" w:pos="420"/>
        </w:tabs>
        <w:spacing w:after="120"/>
        <w:ind w:left="420"/>
        <w:rPr>
          <w:rFonts w:ascii="Times New Roman" w:eastAsia="宋体" w:hAnsi="Times New Roman" w:cs="Times New Roman"/>
          <w:position w:val="-14"/>
          <w:sz w:val="20"/>
          <w:szCs w:val="20"/>
        </w:rPr>
      </w:pPr>
      <w:r>
        <w:rPr>
          <w:rFonts w:ascii="Times New Roman" w:eastAsia="宋体" w:hAnsi="Times New Roman" w:cs="Times New Roman" w:hint="eastAsia"/>
          <w:position w:val="-14"/>
          <w:sz w:val="20"/>
          <w:szCs w:val="20"/>
        </w:rPr>
        <w:t xml:space="preserve">For the orbital parameter format </w:t>
      </w:r>
      <w:proofErr w:type="spellStart"/>
      <w:r>
        <w:rPr>
          <w:rFonts w:ascii="Times New Roman" w:eastAsia="宋体" w:hAnsi="Times New Roman" w:cs="Times New Roman" w:hint="eastAsia"/>
          <w:position w:val="-14"/>
          <w:sz w:val="20"/>
          <w:szCs w:val="20"/>
        </w:rPr>
        <w:t>epehmeris</w:t>
      </w:r>
      <w:proofErr w:type="spellEnd"/>
      <w:r>
        <w:rPr>
          <w:rFonts w:ascii="Times New Roman" w:eastAsia="宋体" w:hAnsi="Times New Roman" w:cs="Times New Roman" w:hint="eastAsia"/>
          <w:position w:val="-14"/>
          <w:sz w:val="20"/>
          <w:szCs w:val="20"/>
        </w:rPr>
        <w:t>, the state of a satellite is determined by the orbit parameters and the satellite</w:t>
      </w:r>
      <w:r>
        <w:rPr>
          <w:rFonts w:ascii="Times New Roman" w:eastAsia="宋体" w:hAnsi="Times New Roman" w:cs="Times New Roman"/>
          <w:position w:val="-14"/>
          <w:sz w:val="20"/>
          <w:szCs w:val="20"/>
        </w:rPr>
        <w:t>’</w:t>
      </w:r>
      <w:r>
        <w:rPr>
          <w:rFonts w:ascii="Times New Roman" w:eastAsia="宋体" w:hAnsi="Times New Roman" w:cs="Times New Roman" w:hint="eastAsia"/>
          <w:position w:val="-14"/>
          <w:sz w:val="20"/>
          <w:szCs w:val="20"/>
        </w:rPr>
        <w:t>s instantaneous angle in the orbit. In order to reduce signalling, one method is to provide a reference ephemeris to the UEs in advance, and broadcast the delta correction. Considering the flexible to support large number of satellites, to store the reference ephemeris of every satellite in every UEs may cost large memory. Meanwhile, the number of orbits is generally not large. Therefore, a practical solution is to store or indicate the orbits to the UEs, i.e., the first five parameters are pre-provisioned. Then a satellite will broadcast the following parameters.</w:t>
      </w:r>
    </w:p>
    <w:p w:rsidR="00EA0F38" w:rsidRDefault="0096751C">
      <w:pPr>
        <w:numPr>
          <w:ilvl w:val="0"/>
          <w:numId w:val="19"/>
        </w:numPr>
        <w:spacing w:after="120"/>
        <w:rPr>
          <w:rFonts w:ascii="Times New Roman" w:eastAsia="宋体" w:hAnsi="Times New Roman" w:cs="Times New Roman"/>
          <w:position w:val="-14"/>
          <w:sz w:val="20"/>
          <w:szCs w:val="20"/>
        </w:rPr>
      </w:pPr>
      <w:r>
        <w:rPr>
          <w:rFonts w:ascii="Times New Roman" w:eastAsia="宋体" w:hAnsi="Times New Roman" w:cs="Times New Roman" w:hint="eastAsia"/>
          <w:position w:val="-14"/>
          <w:sz w:val="20"/>
          <w:szCs w:val="20"/>
        </w:rPr>
        <w:lastRenderedPageBreak/>
        <w:t></w:t>
      </w:r>
      <w:r>
        <w:rPr>
          <w:rFonts w:ascii="Times New Roman" w:eastAsia="宋体" w:hAnsi="Times New Roman" w:cs="Times New Roman" w:hint="eastAsia"/>
          <w:position w:val="-14"/>
          <w:sz w:val="20"/>
          <w:szCs w:val="20"/>
        </w:rPr>
        <w:t>Orbit index</w:t>
      </w:r>
    </w:p>
    <w:p w:rsidR="00EA0F38" w:rsidRDefault="0096751C">
      <w:pPr>
        <w:numPr>
          <w:ilvl w:val="0"/>
          <w:numId w:val="19"/>
        </w:numPr>
        <w:spacing w:after="120"/>
        <w:rPr>
          <w:rFonts w:ascii="Times New Roman" w:eastAsia="宋体" w:hAnsi="Times New Roman" w:cs="Times New Roman"/>
          <w:position w:val="-14"/>
          <w:sz w:val="20"/>
          <w:szCs w:val="20"/>
        </w:rPr>
      </w:pPr>
      <w:r>
        <w:rPr>
          <w:rFonts w:ascii="Times New Roman" w:eastAsia="宋体" w:hAnsi="Times New Roman" w:cs="Times New Roman" w:hint="eastAsia"/>
          <w:position w:val="-14"/>
          <w:sz w:val="20"/>
          <w:szCs w:val="20"/>
        </w:rPr>
        <w:t></w:t>
      </w:r>
      <w:r>
        <w:rPr>
          <w:rFonts w:ascii="Times New Roman" w:eastAsia="宋体" w:hAnsi="Times New Roman" w:cs="Times New Roman" w:hint="eastAsia"/>
          <w:position w:val="-14"/>
          <w:sz w:val="20"/>
          <w:szCs w:val="20"/>
        </w:rPr>
        <w:t>Delta correction</w:t>
      </w:r>
    </w:p>
    <w:p w:rsidR="00EA0F38" w:rsidRDefault="0096751C">
      <w:pPr>
        <w:numPr>
          <w:ilvl w:val="0"/>
          <w:numId w:val="19"/>
        </w:numPr>
        <w:spacing w:after="120"/>
        <w:rPr>
          <w:rFonts w:ascii="Times New Roman" w:eastAsia="宋体" w:hAnsi="Times New Roman" w:cs="Times New Roman"/>
          <w:position w:val="-14"/>
          <w:sz w:val="20"/>
          <w:szCs w:val="20"/>
        </w:rPr>
      </w:pPr>
      <w:r>
        <w:rPr>
          <w:rFonts w:ascii="Times New Roman" w:eastAsia="宋体" w:hAnsi="Times New Roman" w:cs="Times New Roman" w:hint="eastAsia"/>
          <w:position w:val="-14"/>
          <w:sz w:val="20"/>
          <w:szCs w:val="20"/>
        </w:rPr>
        <w:t></w:t>
      </w:r>
      <w:r>
        <w:rPr>
          <w:rFonts w:ascii="Times New Roman" w:eastAsia="宋体" w:hAnsi="Times New Roman" w:cs="Times New Roman" w:hint="eastAsia"/>
          <w:position w:val="-14"/>
          <w:sz w:val="20"/>
          <w:szCs w:val="20"/>
        </w:rPr>
        <w:t>Mean anomaly M [rad] at epoch time t</w:t>
      </w:r>
      <w:r>
        <w:rPr>
          <w:rFonts w:ascii="Times New Roman" w:eastAsia="宋体" w:hAnsi="Times New Roman" w:cs="Times New Roman" w:hint="eastAsia"/>
          <w:position w:val="-14"/>
          <w:sz w:val="20"/>
          <w:szCs w:val="20"/>
          <w:vertAlign w:val="subscript"/>
        </w:rPr>
        <w:t>0</w:t>
      </w:r>
    </w:p>
    <w:p w:rsidR="00EA0F38" w:rsidRDefault="0096751C">
      <w:pPr>
        <w:tabs>
          <w:tab w:val="left" w:pos="420"/>
        </w:tabs>
        <w:spacing w:after="120"/>
        <w:ind w:left="420"/>
        <w:rPr>
          <w:rFonts w:ascii="Times New Roman" w:eastAsia="宋体" w:hAnsi="Times New Roman" w:cs="Times New Roman"/>
          <w:position w:val="-14"/>
          <w:sz w:val="20"/>
          <w:szCs w:val="20"/>
        </w:rPr>
      </w:pPr>
      <w:r>
        <w:rPr>
          <w:rFonts w:ascii="Times New Roman" w:eastAsia="宋体" w:hAnsi="Times New Roman" w:cs="Times New Roman" w:hint="eastAsia"/>
          <w:position w:val="-14"/>
          <w:sz w:val="20"/>
          <w:szCs w:val="20"/>
        </w:rPr>
        <w:t>The main reason for the satellite</w:t>
      </w:r>
      <w:r>
        <w:rPr>
          <w:rFonts w:ascii="Times New Roman" w:eastAsia="宋体" w:hAnsi="Times New Roman" w:cs="Times New Roman"/>
          <w:position w:val="-14"/>
          <w:sz w:val="20"/>
          <w:szCs w:val="20"/>
        </w:rPr>
        <w:t>’</w:t>
      </w:r>
      <w:r>
        <w:rPr>
          <w:rFonts w:ascii="Times New Roman" w:eastAsia="宋体" w:hAnsi="Times New Roman" w:cs="Times New Roman" w:hint="eastAsia"/>
          <w:position w:val="-14"/>
          <w:sz w:val="20"/>
          <w:szCs w:val="20"/>
        </w:rPr>
        <w:t>s deviation from the nominal orbit is the perturbation. The format based on state vectors is more suitable to model the perturbation. So the delta correction can be in the form of PV.</w:t>
      </w:r>
    </w:p>
    <w:p w:rsidR="00EA0F38" w:rsidRDefault="0096751C">
      <w:pPr>
        <w:tabs>
          <w:tab w:val="left" w:pos="420"/>
        </w:tabs>
        <w:spacing w:after="120"/>
        <w:ind w:left="420"/>
        <w:rPr>
          <w:rFonts w:ascii="Times New Roman" w:eastAsia="宋体" w:hAnsi="Times New Roman" w:cs="Times New Roman"/>
          <w:i/>
          <w:iCs/>
          <w:position w:val="-14"/>
          <w:sz w:val="20"/>
          <w:szCs w:val="20"/>
        </w:rPr>
      </w:pPr>
      <w:r>
        <w:rPr>
          <w:rFonts w:ascii="Times New Roman" w:eastAsia="宋体" w:hAnsi="Times New Roman" w:cs="Times New Roman" w:hint="eastAsia"/>
          <w:b/>
          <w:bCs/>
          <w:i/>
          <w:iCs/>
          <w:position w:val="-14"/>
          <w:sz w:val="20"/>
          <w:szCs w:val="20"/>
        </w:rPr>
        <w:t>Proposal 20:</w:t>
      </w:r>
      <w:r>
        <w:rPr>
          <w:rFonts w:ascii="Times New Roman" w:eastAsia="宋体" w:hAnsi="Times New Roman" w:cs="Times New Roman" w:hint="eastAsia"/>
          <w:i/>
          <w:iCs/>
          <w:position w:val="-14"/>
          <w:sz w:val="20"/>
          <w:szCs w:val="20"/>
        </w:rPr>
        <w:t xml:space="preserve"> For the format based on orbital elements, following methods can be considered to further optimize the signaling load:</w:t>
      </w:r>
    </w:p>
    <w:p w:rsidR="00EA0F38" w:rsidRDefault="0096751C">
      <w:pPr>
        <w:numPr>
          <w:ilvl w:val="0"/>
          <w:numId w:val="20"/>
        </w:numPr>
        <w:spacing w:after="120"/>
        <w:rPr>
          <w:rFonts w:ascii="Times New Roman" w:eastAsia="宋体" w:hAnsi="Times New Roman" w:cs="Times New Roman"/>
          <w:i/>
          <w:iCs/>
          <w:position w:val="-14"/>
          <w:sz w:val="20"/>
          <w:szCs w:val="20"/>
        </w:rPr>
      </w:pPr>
      <w:r>
        <w:rPr>
          <w:rFonts w:ascii="Times New Roman" w:eastAsia="宋体" w:hAnsi="Times New Roman" w:cs="Times New Roman" w:hint="eastAsia"/>
          <w:i/>
          <w:iCs/>
          <w:position w:val="-14"/>
          <w:sz w:val="20"/>
          <w:szCs w:val="20"/>
        </w:rPr>
        <w:t xml:space="preserve">Indicate the first five parameters and the associated index to the UEs as </w:t>
      </w:r>
      <w:r>
        <w:rPr>
          <w:rFonts w:ascii="Times New Roman" w:eastAsia="宋体" w:hAnsi="Times New Roman" w:cs="Times New Roman" w:hint="eastAsia"/>
          <w:position w:val="-14"/>
          <w:sz w:val="20"/>
          <w:szCs w:val="20"/>
        </w:rPr>
        <w:t>pre-provisioned</w:t>
      </w:r>
      <w:r>
        <w:rPr>
          <w:rFonts w:ascii="Times New Roman" w:eastAsia="宋体" w:hAnsi="Times New Roman" w:cs="Times New Roman" w:hint="eastAsia"/>
          <w:i/>
          <w:iCs/>
          <w:position w:val="-14"/>
          <w:sz w:val="20"/>
          <w:szCs w:val="20"/>
        </w:rPr>
        <w:t xml:space="preserve"> reference </w:t>
      </w:r>
      <w:r>
        <w:rPr>
          <w:rFonts w:ascii="Times New Roman" w:eastAsia="宋体" w:hAnsi="Times New Roman" w:cs="Times New Roman"/>
          <w:i/>
          <w:iCs/>
          <w:position w:val="-14"/>
          <w:sz w:val="20"/>
          <w:szCs w:val="20"/>
        </w:rPr>
        <w:t>ephemeris</w:t>
      </w:r>
      <w:r>
        <w:rPr>
          <w:rFonts w:ascii="Times New Roman" w:eastAsia="宋体" w:hAnsi="Times New Roman" w:cs="Times New Roman" w:hint="eastAsia"/>
          <w:i/>
          <w:iCs/>
          <w:position w:val="-14"/>
          <w:sz w:val="20"/>
          <w:szCs w:val="20"/>
        </w:rPr>
        <w:t xml:space="preserve"> </w:t>
      </w:r>
    </w:p>
    <w:p w:rsidR="00EA0F38" w:rsidRDefault="0096751C">
      <w:pPr>
        <w:numPr>
          <w:ilvl w:val="0"/>
          <w:numId w:val="20"/>
        </w:numPr>
        <w:spacing w:after="120"/>
        <w:rPr>
          <w:rFonts w:ascii="Times New Roman" w:eastAsia="宋体" w:hAnsi="Times New Roman" w:cs="Times New Roman"/>
          <w:i/>
          <w:iCs/>
          <w:position w:val="-14"/>
          <w:sz w:val="20"/>
          <w:szCs w:val="20"/>
        </w:rPr>
      </w:pPr>
      <w:r>
        <w:rPr>
          <w:rFonts w:ascii="Times New Roman" w:eastAsia="宋体" w:hAnsi="Times New Roman" w:cs="Times New Roman" w:hint="eastAsia"/>
          <w:i/>
          <w:iCs/>
          <w:position w:val="-14"/>
          <w:sz w:val="20"/>
          <w:szCs w:val="20"/>
        </w:rPr>
        <w:t>Use delta correction in the form of PV.</w:t>
      </w:r>
    </w:p>
    <w:p w:rsidR="00EA0F38" w:rsidRDefault="0096751C">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rsidR="00EA0F38" w:rsidRDefault="0096751C">
      <w:pPr>
        <w:pStyle w:val="ad"/>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In this contribution, detailed analysis on the synchronization related issues for NTN is conducted with following proposals and observations:</w:t>
      </w:r>
    </w:p>
    <w:p w:rsidR="00066C43" w:rsidRDefault="00066C43" w:rsidP="00066C43">
      <w:pPr>
        <w:spacing w:beforeLines="50" w:before="120" w:after="0" w:line="240" w:lineRule="auto"/>
        <w:ind w:leftChars="200" w:left="440"/>
        <w:jc w:val="both"/>
        <w:rPr>
          <w:rFonts w:ascii="Times New Roman" w:eastAsia="宋体" w:hAnsi="Times New Roman"/>
          <w:i/>
          <w:sz w:val="20"/>
          <w:szCs w:val="20"/>
        </w:rPr>
      </w:pPr>
      <w:r>
        <w:rPr>
          <w:rFonts w:ascii="Times New Roman" w:eastAsia="宋体" w:hAnsi="Times New Roman"/>
          <w:b/>
          <w:i/>
          <w:sz w:val="20"/>
          <w:szCs w:val="20"/>
        </w:rPr>
        <w:t xml:space="preserve">Proposal </w:t>
      </w:r>
      <w:r>
        <w:rPr>
          <w:rFonts w:ascii="Times New Roman" w:eastAsia="宋体" w:hAnsi="Times New Roman" w:hint="eastAsia"/>
          <w:b/>
          <w:i/>
          <w:sz w:val="20"/>
          <w:szCs w:val="20"/>
        </w:rPr>
        <w:t>1</w:t>
      </w:r>
      <w:r>
        <w:rPr>
          <w:rFonts w:ascii="Times New Roman" w:eastAsia="宋体" w:hAnsi="Times New Roman"/>
          <w:b/>
          <w:i/>
          <w:sz w:val="20"/>
          <w:szCs w:val="20"/>
        </w:rPr>
        <w:t xml:space="preserve">: </w:t>
      </w:r>
      <w:r>
        <w:rPr>
          <w:rFonts w:ascii="Times New Roman" w:eastAsia="宋体" w:hAnsi="Times New Roman"/>
          <w:i/>
          <w:sz w:val="20"/>
          <w:szCs w:val="20"/>
        </w:rPr>
        <w:t xml:space="preserve">Following </w:t>
      </w:r>
      <w:r>
        <w:rPr>
          <w:rFonts w:ascii="Times New Roman" w:eastAsia="宋体" w:hAnsi="Times New Roman" w:hint="eastAsia"/>
          <w:i/>
          <w:sz w:val="20"/>
          <w:szCs w:val="20"/>
        </w:rPr>
        <w:t xml:space="preserve">options can be considered for common TA parameters </w:t>
      </w:r>
      <w:r>
        <w:rPr>
          <w:rFonts w:ascii="Times New Roman" w:eastAsia="宋体" w:hAnsi="Times New Roman"/>
          <w:i/>
          <w:sz w:val="20"/>
          <w:szCs w:val="20"/>
        </w:rPr>
        <w:t>indication:</w:t>
      </w:r>
    </w:p>
    <w:p w:rsidR="00066C43" w:rsidRPr="00066C43" w:rsidRDefault="00066C43" w:rsidP="00066C43">
      <w:pPr>
        <w:numPr>
          <w:ilvl w:val="0"/>
          <w:numId w:val="9"/>
        </w:numPr>
        <w:adjustRightInd w:val="0"/>
        <w:snapToGrid w:val="0"/>
        <w:spacing w:after="0" w:line="240" w:lineRule="auto"/>
        <w:ind w:leftChars="391" w:left="1280"/>
        <w:rPr>
          <w:rFonts w:ascii="Times New Roman" w:hAnsi="Times New Roman" w:cs="Times New Roman"/>
          <w:i/>
          <w:sz w:val="20"/>
          <w:szCs w:val="20"/>
        </w:rPr>
      </w:pPr>
      <w:r w:rsidRPr="00066C43">
        <w:rPr>
          <w:rFonts w:ascii="Times New Roman" w:hAnsi="Times New Roman" w:cs="Times New Roman"/>
          <w:i/>
          <w:sz w:val="20"/>
          <w:szCs w:val="20"/>
        </w:rPr>
        <w:t>Option 1: Only support the combination {common TA, common TA drift rate, common TA drift rate variation}, where the common TA drift rate and common TA drift rate variation can be zero.</w:t>
      </w:r>
    </w:p>
    <w:p w:rsidR="00066C43" w:rsidRPr="00066C43" w:rsidRDefault="00066C43" w:rsidP="00066C43">
      <w:pPr>
        <w:numPr>
          <w:ilvl w:val="0"/>
          <w:numId w:val="9"/>
        </w:numPr>
        <w:adjustRightInd w:val="0"/>
        <w:snapToGrid w:val="0"/>
        <w:spacing w:after="0" w:line="240" w:lineRule="auto"/>
        <w:ind w:leftChars="391" w:left="1280"/>
        <w:rPr>
          <w:rFonts w:ascii="Times New Roman" w:hAnsi="Times New Roman" w:cs="Times New Roman"/>
          <w:i/>
          <w:sz w:val="20"/>
          <w:szCs w:val="20"/>
        </w:rPr>
      </w:pPr>
      <w:r w:rsidRPr="00066C43">
        <w:rPr>
          <w:rFonts w:ascii="Times New Roman" w:hAnsi="Times New Roman" w:cs="Times New Roman"/>
          <w:i/>
          <w:sz w:val="20"/>
          <w:szCs w:val="20"/>
        </w:rPr>
        <w:t>Option 2: Support following two combinations</w:t>
      </w:r>
      <w:r w:rsidRPr="00066C43">
        <w:rPr>
          <w:rFonts w:ascii="Times New Roman" w:hAnsi="Times New Roman" w:cs="Times New Roman" w:hint="eastAsia"/>
          <w:i/>
          <w:sz w:val="20"/>
          <w:szCs w:val="20"/>
        </w:rPr>
        <w:t>,</w:t>
      </w:r>
      <w:r w:rsidRPr="00066C43">
        <w:rPr>
          <w:rFonts w:ascii="Times New Roman" w:hAnsi="Times New Roman" w:cs="Times New Roman"/>
          <w:i/>
          <w:sz w:val="20"/>
          <w:szCs w:val="20"/>
        </w:rPr>
        <w:t xml:space="preserve"> which can be configured by gNB for different scenarios </w:t>
      </w:r>
    </w:p>
    <w:p w:rsidR="00066C43" w:rsidRPr="00066C43" w:rsidRDefault="00066C43" w:rsidP="00066C43">
      <w:pPr>
        <w:numPr>
          <w:ilvl w:val="4"/>
          <w:numId w:val="6"/>
        </w:numPr>
        <w:adjustRightInd w:val="0"/>
        <w:snapToGrid w:val="0"/>
        <w:spacing w:after="0" w:line="240" w:lineRule="auto"/>
        <w:ind w:leftChars="609" w:left="1700"/>
        <w:rPr>
          <w:rFonts w:ascii="Times New Roman" w:hAnsi="Times New Roman" w:cs="Times New Roman"/>
          <w:i/>
          <w:sz w:val="20"/>
          <w:szCs w:val="20"/>
        </w:rPr>
      </w:pPr>
      <w:r w:rsidRPr="00066C43">
        <w:rPr>
          <w:rFonts w:ascii="Times New Roman" w:hAnsi="Times New Roman" w:cs="Times New Roman"/>
          <w:i/>
          <w:sz w:val="20"/>
          <w:szCs w:val="20"/>
        </w:rPr>
        <w:t>{common TA, common TA drift rate, common TA drift rate variation}</w:t>
      </w:r>
    </w:p>
    <w:p w:rsidR="00066C43" w:rsidRPr="00066C43" w:rsidRDefault="00066C43" w:rsidP="00066C43">
      <w:pPr>
        <w:numPr>
          <w:ilvl w:val="4"/>
          <w:numId w:val="6"/>
        </w:numPr>
        <w:adjustRightInd w:val="0"/>
        <w:snapToGrid w:val="0"/>
        <w:spacing w:after="0" w:line="240" w:lineRule="auto"/>
        <w:ind w:leftChars="609" w:left="1700"/>
        <w:rPr>
          <w:rFonts w:ascii="Times New Roman" w:hAnsi="Times New Roman" w:cs="Times New Roman"/>
          <w:i/>
          <w:sz w:val="20"/>
          <w:szCs w:val="20"/>
        </w:rPr>
      </w:pPr>
      <w:r w:rsidRPr="00066C43">
        <w:rPr>
          <w:rFonts w:ascii="Times New Roman" w:hAnsi="Times New Roman" w:cs="Times New Roman"/>
          <w:i/>
          <w:sz w:val="20"/>
          <w:szCs w:val="20"/>
        </w:rPr>
        <w:t>{common TA}</w:t>
      </w:r>
    </w:p>
    <w:p w:rsidR="00EA0F38" w:rsidRDefault="0096751C">
      <w:pPr>
        <w:spacing w:beforeLines="50" w:before="120" w:line="240" w:lineRule="auto"/>
        <w:ind w:leftChars="200" w:left="440"/>
        <w:jc w:val="both"/>
        <w:rPr>
          <w:rFonts w:ascii="Times New Roman" w:eastAsia="宋体" w:hAnsi="Times New Roman"/>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2: </w:t>
      </w:r>
      <w:r>
        <w:rPr>
          <w:rFonts w:ascii="Times New Roman" w:eastAsia="宋体" w:hAnsi="Times New Roman" w:hint="eastAsia"/>
          <w:i/>
          <w:sz w:val="20"/>
          <w:szCs w:val="20"/>
        </w:rPr>
        <w:t>The signaling granularity of common TA drift rate can be chosen as 1.11*10</w:t>
      </w:r>
      <w:r>
        <w:rPr>
          <w:rFonts w:ascii="Times New Roman" w:eastAsia="宋体" w:hAnsi="Times New Roman" w:hint="eastAsia"/>
          <w:i/>
          <w:sz w:val="20"/>
          <w:szCs w:val="20"/>
          <w:vertAlign w:val="superscript"/>
        </w:rPr>
        <w:t>-2</w:t>
      </w:r>
      <w:r>
        <w:rPr>
          <w:rFonts w:ascii="Times New Roman" w:eastAsia="宋体" w:hAnsi="Times New Roman" w:hint="eastAsia"/>
          <w:i/>
          <w:sz w:val="20"/>
          <w:szCs w:val="20"/>
        </w:rPr>
        <w:t xml:space="preserve"> us/s. The signaling granularity of common TA drift rate variation can be chosen as 1.13*10</w:t>
      </w:r>
      <w:r>
        <w:rPr>
          <w:rFonts w:ascii="Times New Roman" w:eastAsia="宋体" w:hAnsi="Times New Roman" w:hint="eastAsia"/>
          <w:i/>
          <w:sz w:val="20"/>
          <w:szCs w:val="20"/>
          <w:vertAlign w:val="superscript"/>
        </w:rPr>
        <w:t>-3</w:t>
      </w:r>
      <w:r>
        <w:rPr>
          <w:rFonts w:ascii="Times New Roman" w:eastAsia="宋体" w:hAnsi="Times New Roman" w:hint="eastAsia"/>
          <w:i/>
          <w:sz w:val="20"/>
          <w:szCs w:val="20"/>
        </w:rPr>
        <w:t xml:space="preserve"> us/s</w:t>
      </w:r>
      <w:r>
        <w:rPr>
          <w:rFonts w:ascii="Times New Roman" w:eastAsia="宋体" w:hAnsi="Times New Roman" w:hint="eastAsia"/>
          <w:i/>
          <w:sz w:val="20"/>
          <w:szCs w:val="20"/>
          <w:vertAlign w:val="superscript"/>
        </w:rPr>
        <w:t>2</w:t>
      </w:r>
      <w:r>
        <w:rPr>
          <w:rFonts w:ascii="Times New Roman" w:eastAsia="宋体" w:hAnsi="Times New Roman" w:hint="eastAsia"/>
          <w:i/>
          <w:sz w:val="20"/>
          <w:szCs w:val="20"/>
        </w:rPr>
        <w:t>.</w:t>
      </w:r>
    </w:p>
    <w:p w:rsidR="00AE2733" w:rsidRDefault="00AE2733" w:rsidP="00AE2733">
      <w:pPr>
        <w:ind w:leftChars="200" w:left="440"/>
        <w:jc w:val="both"/>
        <w:rPr>
          <w:rFonts w:ascii="Times New Roman" w:eastAsia="宋体" w:hAnsi="Times New Roman"/>
          <w:bCs/>
          <w:i/>
          <w:iCs/>
          <w:sz w:val="20"/>
          <w:szCs w:val="20"/>
        </w:rPr>
      </w:pPr>
      <w:r>
        <w:rPr>
          <w:rFonts w:ascii="Times New Roman" w:eastAsia="宋体" w:hAnsi="Times New Roman"/>
          <w:b/>
          <w:i/>
          <w:sz w:val="20"/>
          <w:szCs w:val="20"/>
        </w:rPr>
        <w:t xml:space="preserve">Proposal </w:t>
      </w:r>
      <w:r>
        <w:rPr>
          <w:rFonts w:ascii="Times New Roman" w:eastAsia="宋体" w:hAnsi="Times New Roman" w:hint="eastAsia"/>
          <w:b/>
          <w:i/>
          <w:sz w:val="20"/>
          <w:szCs w:val="20"/>
        </w:rPr>
        <w:t>3</w:t>
      </w:r>
      <w:r>
        <w:rPr>
          <w:rFonts w:ascii="Times New Roman" w:eastAsia="宋体" w:hAnsi="Times New Roman"/>
          <w:b/>
          <w:i/>
          <w:sz w:val="20"/>
          <w:szCs w:val="20"/>
        </w:rPr>
        <w:t xml:space="preserve">: </w:t>
      </w:r>
      <w:r>
        <w:rPr>
          <w:rFonts w:ascii="Times New Roman" w:hAnsi="Times New Roman" w:cs="Times New Roman" w:hint="eastAsia"/>
          <w:i/>
          <w:iCs/>
          <w:sz w:val="20"/>
          <w:szCs w:val="20"/>
        </w:rPr>
        <w:t>If only one type of common TA signaling is supported, following configurations can be considered</w:t>
      </w:r>
      <w:r>
        <w:rPr>
          <w:rFonts w:ascii="Times New Roman" w:eastAsia="宋体" w:hAnsi="Times New Roman"/>
          <w:bCs/>
          <w:i/>
          <w:iCs/>
          <w:sz w:val="20"/>
          <w:szCs w:val="20"/>
        </w:rPr>
        <w:t>:</w:t>
      </w:r>
    </w:p>
    <w:p w:rsidR="00AE2733" w:rsidRDefault="00AE2733" w:rsidP="00AE2733">
      <w:pPr>
        <w:numPr>
          <w:ilvl w:val="0"/>
          <w:numId w:val="14"/>
        </w:numPr>
        <w:tabs>
          <w:tab w:val="clear" w:pos="840"/>
          <w:tab w:val="left" w:pos="420"/>
        </w:tabs>
        <w:adjustRightInd w:val="0"/>
        <w:snapToGrid w:val="0"/>
        <w:spacing w:after="0" w:line="240" w:lineRule="auto"/>
        <w:rPr>
          <w:rFonts w:ascii="Times New Roman" w:hAnsi="Times New Roman" w:cs="Times New Roman"/>
          <w:i/>
          <w:iCs/>
          <w:sz w:val="20"/>
          <w:szCs w:val="20"/>
        </w:rPr>
      </w:pPr>
      <w:r>
        <w:rPr>
          <w:rFonts w:ascii="Times New Roman" w:hAnsi="Times New Roman" w:cs="Times New Roman"/>
          <w:i/>
          <w:iCs/>
          <w:sz w:val="20"/>
          <w:szCs w:val="20"/>
        </w:rPr>
        <w:t>{one common TA in a field of 26 bits, one first order drift rate in a field of 12 bits, one second order drift rate in a field of 9 bits}</w:t>
      </w:r>
    </w:p>
    <w:p w:rsidR="00AE2733" w:rsidRDefault="00AE2733" w:rsidP="00AE2733">
      <w:pPr>
        <w:spacing w:beforeLines="50" w:before="120" w:line="240" w:lineRule="auto"/>
        <w:ind w:leftChars="200" w:left="440"/>
        <w:jc w:val="both"/>
        <w:rPr>
          <w:rFonts w:ascii="Times New Roman" w:hAnsi="Times New Roman" w:cs="Times New Roman"/>
          <w:i/>
          <w:iCs/>
          <w:sz w:val="20"/>
          <w:szCs w:val="20"/>
        </w:rPr>
      </w:pPr>
      <w:r>
        <w:rPr>
          <w:rFonts w:ascii="Times New Roman" w:eastAsia="宋体" w:hAnsi="Times New Roman"/>
          <w:b/>
          <w:i/>
          <w:iCs/>
          <w:sz w:val="20"/>
          <w:szCs w:val="20"/>
        </w:rPr>
        <w:t xml:space="preserve">Proposal </w:t>
      </w:r>
      <w:r>
        <w:rPr>
          <w:rFonts w:ascii="Times New Roman" w:eastAsia="宋体" w:hAnsi="Times New Roman" w:hint="eastAsia"/>
          <w:b/>
          <w:i/>
          <w:iCs/>
          <w:sz w:val="20"/>
          <w:szCs w:val="20"/>
        </w:rPr>
        <w:t xml:space="preserve">4: </w:t>
      </w:r>
      <w:r>
        <w:rPr>
          <w:rFonts w:ascii="Times New Roman" w:hAnsi="Times New Roman" w:cs="Times New Roman" w:hint="eastAsia"/>
          <w:i/>
          <w:iCs/>
          <w:sz w:val="20"/>
          <w:szCs w:val="20"/>
        </w:rPr>
        <w:t>If different types of common TA signaling are supported for different scenarios, following configurations can be considered</w:t>
      </w:r>
    </w:p>
    <w:p w:rsidR="00AE2733" w:rsidRDefault="00AE2733" w:rsidP="00AE2733">
      <w:pPr>
        <w:numPr>
          <w:ilvl w:val="0"/>
          <w:numId w:val="15"/>
        </w:numPr>
        <w:spacing w:beforeLines="50" w:before="120" w:line="240" w:lineRule="auto"/>
        <w:jc w:val="both"/>
        <w:rPr>
          <w:rFonts w:ascii="Times New Roman" w:eastAsia="宋体" w:hAnsi="Times New Roman"/>
          <w:i/>
          <w:iCs/>
          <w:sz w:val="20"/>
          <w:szCs w:val="20"/>
        </w:rPr>
      </w:pPr>
      <w:r>
        <w:rPr>
          <w:rFonts w:ascii="Times New Roman" w:hAnsi="Times New Roman" w:cs="Times New Roman"/>
          <w:i/>
          <w:iCs/>
          <w:sz w:val="20"/>
          <w:szCs w:val="20"/>
        </w:rPr>
        <w:t>{one common TA in a field of 2</w:t>
      </w:r>
      <w:r>
        <w:rPr>
          <w:rFonts w:ascii="Times New Roman" w:hAnsi="Times New Roman" w:cs="Times New Roman" w:hint="eastAsia"/>
          <w:i/>
          <w:iCs/>
          <w:sz w:val="20"/>
          <w:szCs w:val="20"/>
        </w:rPr>
        <w:t>3</w:t>
      </w:r>
      <w:r>
        <w:rPr>
          <w:rFonts w:ascii="Times New Roman" w:hAnsi="Times New Roman" w:cs="Times New Roman"/>
          <w:i/>
          <w:iCs/>
          <w:sz w:val="20"/>
          <w:szCs w:val="20"/>
        </w:rPr>
        <w:t xml:space="preserve"> bits, one first order drift rate in a field of 12 bits, one second order drift rate in a field of 9 bits}</w:t>
      </w:r>
    </w:p>
    <w:p w:rsidR="00AE2733" w:rsidRDefault="00AE2733" w:rsidP="00AE2733">
      <w:pPr>
        <w:numPr>
          <w:ilvl w:val="0"/>
          <w:numId w:val="15"/>
        </w:numPr>
        <w:spacing w:beforeLines="50" w:before="120" w:line="240" w:lineRule="auto"/>
        <w:jc w:val="both"/>
        <w:rPr>
          <w:rFonts w:ascii="Times New Roman" w:eastAsia="宋体" w:hAnsi="Times New Roman"/>
          <w:i/>
          <w:sz w:val="20"/>
          <w:szCs w:val="20"/>
        </w:rPr>
      </w:pPr>
      <w:r>
        <w:rPr>
          <w:rFonts w:ascii="Times New Roman" w:hAnsi="Times New Roman" w:cs="Times New Roman"/>
          <w:i/>
          <w:iCs/>
          <w:sz w:val="20"/>
          <w:szCs w:val="20"/>
        </w:rPr>
        <w:t>{one common TA in a field of 2</w:t>
      </w:r>
      <w:r>
        <w:rPr>
          <w:rFonts w:ascii="Times New Roman" w:hAnsi="Times New Roman" w:cs="Times New Roman" w:hint="eastAsia"/>
          <w:i/>
          <w:iCs/>
          <w:sz w:val="20"/>
          <w:szCs w:val="20"/>
        </w:rPr>
        <w:t>6</w:t>
      </w:r>
      <w:r>
        <w:rPr>
          <w:rFonts w:ascii="Times New Roman" w:hAnsi="Times New Roman" w:cs="Times New Roman"/>
          <w:i/>
          <w:iCs/>
          <w:sz w:val="20"/>
          <w:szCs w:val="20"/>
        </w:rPr>
        <w:t xml:space="preserve"> bits}</w:t>
      </w:r>
    </w:p>
    <w:p w:rsidR="00EA0F38" w:rsidRDefault="0096751C">
      <w:pPr>
        <w:spacing w:beforeLines="50" w:before="120" w:afterLines="50" w:after="120" w:line="240" w:lineRule="auto"/>
        <w:ind w:left="420"/>
        <w:jc w:val="both"/>
        <w:rPr>
          <w:rFonts w:ascii="Times New Roman" w:hAnsi="Times New Roman"/>
          <w:i/>
          <w:iCs/>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5: </w:t>
      </w:r>
      <w:r>
        <w:rPr>
          <w:rFonts w:ascii="Times New Roman" w:hAnsi="Times New Roman"/>
          <w:i/>
          <w:iCs/>
          <w:sz w:val="20"/>
          <w:szCs w:val="20"/>
        </w:rPr>
        <w:t xml:space="preserve">When TAC </w:t>
      </w:r>
      <w:r>
        <w:rPr>
          <w:rFonts w:ascii="Times New Roman" w:hAnsi="Times New Roman"/>
          <w:sz w:val="20"/>
          <w:szCs w:val="20"/>
        </w:rPr>
        <w:t>(</w:t>
      </w:r>
      <w:r>
        <w:rPr>
          <w:rFonts w:ascii="Times New Roman" w:hAnsi="Times New Roman"/>
          <w:position w:val="-10"/>
          <w:sz w:val="20"/>
          <w:szCs w:val="20"/>
        </w:rPr>
        <w:object w:dxaOrig="321" w:dyaOrig="343">
          <v:shape id="_x0000_i1072" type="#_x0000_t75" style="width:16pt;height:17pt" o:ole="">
            <v:imagedata r:id="rId32" o:title=""/>
          </v:shape>
          <o:OLEObject Type="Embed" ProgID="Equation.KSEE3" ShapeID="_x0000_i1072" DrawAspect="Content" ObjectID="_1697655912" r:id="rId75"/>
        </w:object>
      </w:r>
      <w:r>
        <w:rPr>
          <w:rFonts w:ascii="Times New Roman" w:hAnsi="Times New Roman" w:hint="eastAsia"/>
          <w:sz w:val="20"/>
          <w:szCs w:val="20"/>
        </w:rPr>
        <w:t>)</w:t>
      </w:r>
      <w:r>
        <w:rPr>
          <w:rFonts w:ascii="Times New Roman" w:hAnsi="Times New Roman"/>
          <w:i/>
          <w:iCs/>
          <w:sz w:val="20"/>
          <w:szCs w:val="20"/>
        </w:rPr>
        <w:t xml:space="preserve"> </w:t>
      </w:r>
      <w:r>
        <w:rPr>
          <w:rFonts w:ascii="Times New Roman" w:hAnsi="Times New Roman" w:hint="eastAsia"/>
          <w:i/>
          <w:iCs/>
          <w:sz w:val="20"/>
          <w:szCs w:val="20"/>
        </w:rPr>
        <w:t>in msg2/</w:t>
      </w:r>
      <w:proofErr w:type="spellStart"/>
      <w:r>
        <w:rPr>
          <w:rFonts w:ascii="Times New Roman" w:hAnsi="Times New Roman" w:hint="eastAsia"/>
          <w:i/>
          <w:iCs/>
          <w:sz w:val="20"/>
          <w:szCs w:val="20"/>
        </w:rPr>
        <w:t>msgB</w:t>
      </w:r>
      <w:proofErr w:type="spellEnd"/>
      <w:r>
        <w:rPr>
          <w:rFonts w:ascii="Times New Roman" w:hAnsi="Times New Roman" w:hint="eastAsia"/>
          <w:i/>
          <w:iCs/>
          <w:sz w:val="20"/>
          <w:szCs w:val="20"/>
        </w:rPr>
        <w:t xml:space="preserve"> is received,</w:t>
      </w:r>
      <w:r>
        <w:rPr>
          <w:rFonts w:ascii="Times New Roman" w:hAnsi="Times New Roman"/>
          <w:i/>
          <w:iCs/>
          <w:sz w:val="20"/>
          <w:szCs w:val="20"/>
        </w:rPr>
        <w:t> </w:t>
      </w:r>
      <w:r>
        <w:rPr>
          <w:rFonts w:ascii="Times New Roman" w:hAnsi="Times New Roman"/>
          <w:i/>
          <w:iCs/>
          <w:sz w:val="20"/>
          <w:szCs w:val="20"/>
        </w:rPr>
        <w:fldChar w:fldCharType="begin"/>
      </w:r>
      <w:r>
        <w:rPr>
          <w:rFonts w:ascii="Times New Roman" w:hAnsi="Times New Roman"/>
          <w:i/>
          <w:iCs/>
          <w:sz w:val="20"/>
          <w:szCs w:val="20"/>
        </w:rPr>
        <w:instrText xml:space="preserve"> QUOTE </w:instrText>
      </w:r>
      <w:r w:rsidR="00052A59">
        <w:rPr>
          <w:rFonts w:ascii="Times New Roman" w:hAnsi="Times New Roman"/>
          <w:i/>
          <w:iCs/>
          <w:sz w:val="20"/>
          <w:szCs w:val="20"/>
        </w:rPr>
        <w:pict>
          <v:shape id="_x0000_i1073" type="#_x0000_t75" style="width:17pt;height:1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147&quot;/&gt;&lt;w:dontDisplayPageBoundaries/&gt;&lt;w:displayBackgroundShape/&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439F4&quot;/&gt;&lt;wsp:rsid wsp:val=&quot;000450B0&quot;/&gt;&lt;wsp:rsid wsp:val=&quot;00073C45&quot;/&gt;&lt;wsp:rsid wsp:val=&quot;00076C50&quot;/&gt;&lt;wsp:rsid wsp:val=&quot;00080A62&quot;/&gt;&lt;wsp:rsid wsp:val=&quot;00081DD2&quot;/&gt;&lt;wsp:rsid wsp:val=&quot;00084952&quot;/&gt;&lt;wsp:rsid wsp:val=&quot;000906E0&quot;/&gt;&lt;wsp:rsid wsp:val=&quot;000963AE&quot;/&gt;&lt;wsp:rsid wsp:val=&quot;000A5B0C&quot;/&gt;&lt;wsp:rsid wsp:val=&quot;000B283D&quot;/&gt;&lt;wsp:rsid wsp:val=&quot;000C256E&quot;/&gt;&lt;wsp:rsid wsp:val=&quot;00106336&quot;/&gt;&lt;wsp:rsid wsp:val=&quot;00125A76&quot;/&gt;&lt;wsp:rsid wsp:val=&quot;00127F92&quot;/&gt;&lt;wsp:rsid wsp:val=&quot;001379DF&quot;/&gt;&lt;wsp:rsid wsp:val=&quot;00176958&quot;/&gt;&lt;wsp:rsid wsp:val=&quot;00192E48&quot;/&gt;&lt;wsp:rsid wsp:val=&quot;00195119&quot;/&gt;&lt;wsp:rsid wsp:val=&quot;001B2814&quot;/&gt;&lt;wsp:rsid wsp:val=&quot;001C372E&quot;/&gt;&lt;wsp:rsid wsp:val=&quot;001C40D9&quot;/&gt;&lt;wsp:rsid wsp:val=&quot;001F4B2C&quot;/&gt;&lt;wsp:rsid wsp:val=&quot;002036C4&quot;/&gt;&lt;wsp:rsid wsp:val=&quot;00204643&quot;/&gt;&lt;wsp:rsid wsp:val=&quot;00233190&quot;/&gt;&lt;wsp:rsid wsp:val=&quot;002655BB&quot;/&gt;&lt;wsp:rsid wsp:val=&quot;00271046&quot;/&gt;&lt;wsp:rsid wsp:val=&quot;00293C36&quot;/&gt;&lt;wsp:rsid wsp:val=&quot;002A1E7D&quot;/&gt;&lt;wsp:rsid wsp:val=&quot;002A39DC&quot;/&gt;&lt;wsp:rsid wsp:val=&quot;002C2AA3&quot;/&gt;&lt;wsp:rsid wsp:val=&quot;002D209B&quot;/&gt;&lt;wsp:rsid wsp:val=&quot;00334F87&quot;/&gt;&lt;wsp:rsid wsp:val=&quot;00341957&quot;/&gt;&lt;wsp:rsid wsp:val=&quot;00345EEA&quot;/&gt;&lt;wsp:rsid wsp:val=&quot;003861F7&quot;/&gt;&lt;wsp:rsid wsp:val=&quot;0039006E&quot;/&gt;&lt;wsp:rsid wsp:val=&quot;003D1EFA&quot;/&gt;&lt;wsp:rsid wsp:val=&quot;003E7DF2&quot;/&gt;&lt;wsp:rsid wsp:val=&quot;003F30E5&quot;/&gt;&lt;wsp:rsid wsp:val=&quot;00425ACF&quot;/&gt;&lt;wsp:rsid wsp:val=&quot;00434061&quot;/&gt;&lt;wsp:rsid wsp:val=&quot;004573E4&quot;/&gt;&lt;wsp:rsid wsp:val=&quot;00462BD0&quot;/&gt;&lt;wsp:rsid wsp:val=&quot;00463BC7&quot;/&gt;&lt;wsp:rsid wsp:val=&quot;00466E56&quot;/&gt;&lt;wsp:rsid wsp:val=&quot;004952EA&quot;/&gt;&lt;wsp:rsid wsp:val=&quot;004B0939&quot;/&gt;&lt;wsp:rsid wsp:val=&quot;004B5D32&quot;/&gt;&lt;wsp:rsid wsp:val=&quot;004E40C3&quot;/&gt;&lt;wsp:rsid wsp:val=&quot;004E4880&quot;/&gt;&lt;wsp:rsid wsp:val=&quot;004F4660&quot;/&gt;&lt;wsp:rsid wsp:val=&quot;005018C8&quot;/&gt;&lt;wsp:rsid wsp:val=&quot;00514701&quot;/&gt;&lt;wsp:rsid wsp:val=&quot;005162E4&quot;/&gt;&lt;wsp:rsid wsp:val=&quot;00535787&quot;/&gt;&lt;wsp:rsid wsp:val=&quot;00570536&quot;/&gt;&lt;wsp:rsid wsp:val=&quot;005B5782&quot;/&gt;&lt;wsp:rsid wsp:val=&quot;005D02EF&quot;/&gt;&lt;wsp:rsid wsp:val=&quot;006109FC&quot;/&gt;&lt;wsp:rsid wsp:val=&quot;00620D05&quot;/&gt;&lt;wsp:rsid wsp:val=&quot;00630715&quot;/&gt;&lt;wsp:rsid wsp:val=&quot;00646379&quot;/&gt;&lt;wsp:rsid wsp:val=&quot;00663643&quot;/&gt;&lt;wsp:rsid wsp:val=&quot;00690F72&quot;/&gt;&lt;wsp:rsid wsp:val=&quot;006E729D&quot;/&gt;&lt;wsp:rsid wsp:val=&quot;0073412A&quot;/&gt;&lt;wsp:rsid wsp:val=&quot;007436B8&quot;/&gt;&lt;wsp:rsid wsp:val=&quot;0075779E&quot;/&gt;&lt;wsp:rsid wsp:val=&quot;007616EC&quot;/&gt;&lt;wsp:rsid wsp:val=&quot;00782F5B&quot;/&gt;&lt;wsp:rsid wsp:val=&quot;00797EDC&quot;/&gt;&lt;wsp:rsid wsp:val=&quot;007B5261&quot;/&gt;&lt;wsp:rsid wsp:val=&quot;007C3C20&quot;/&gt;&lt;wsp:rsid wsp:val=&quot;007E329A&quot;/&gt;&lt;wsp:rsid wsp:val=&quot;007E5FFB&quot;/&gt;&lt;wsp:rsid wsp:val=&quot;00864FCD&quot;/&gt;&lt;wsp:rsid wsp:val=&quot;008802DB&quot;/&gt;&lt;wsp:rsid wsp:val=&quot;008A34F1&quot;/&gt;&lt;wsp:rsid wsp:val=&quot;008E39EC&quot;/&gt;&lt;wsp:rsid wsp:val=&quot;008E4F63&quot;/&gt;&lt;wsp:rsid wsp:val=&quot;008F2899&quot;/&gt;&lt;wsp:rsid wsp:val=&quot;008F7C25&quot;/&gt;&lt;wsp:rsid wsp:val=&quot;009211CA&quot;/&gt;&lt;wsp:rsid wsp:val=&quot;00927607&quot;/&gt;&lt;wsp:rsid wsp:val=&quot;00943FB4&quot;/&gt;&lt;wsp:rsid wsp:val=&quot;0098076F&quot;/&gt;&lt;wsp:rsid wsp:val=&quot;009844EF&quot;/&gt;&lt;wsp:rsid wsp:val=&quot;00995172&quot;/&gt;&lt;wsp:rsid wsp:val=&quot;009B5D46&quot;/&gt;&lt;wsp:rsid wsp:val=&quot;009B6493&quot;/&gt;&lt;wsp:rsid wsp:val=&quot;009B64D0&quot;/&gt;&lt;wsp:rsid wsp:val=&quot;009E1094&quot;/&gt;&lt;wsp:rsid wsp:val=&quot;00A30A75&quot;/&gt;&lt;wsp:rsid wsp:val=&quot;00A347F3&quot;/&gt;&lt;wsp:rsid wsp:val=&quot;00A814AF&quot;/&gt;&lt;wsp:rsid wsp:val=&quot;00A93992&quot;/&gt;&lt;wsp:rsid wsp:val=&quot;00AA1F42&quot;/&gt;&lt;wsp:rsid wsp:val=&quot;00AC3DB2&quot;/&gt;&lt;wsp:rsid wsp:val=&quot;00B01EAA&quot;/&gt;&lt;wsp:rsid wsp:val=&quot;00B040D2&quot;/&gt;&lt;wsp:rsid wsp:val=&quot;00B10EC3&quot;/&gt;&lt;wsp:rsid wsp:val=&quot;00B264E8&quot;/&gt;&lt;wsp:rsid wsp:val=&quot;00B45579&quot;/&gt;&lt;wsp:rsid wsp:val=&quot;00B50722&quot;/&gt;&lt;wsp:rsid wsp:val=&quot;00B634E8&quot;/&gt;&lt;wsp:rsid wsp:val=&quot;00B640E8&quot;/&gt;&lt;wsp:rsid wsp:val=&quot;00B666B7&quot;/&gt;&lt;wsp:rsid wsp:val=&quot;00B75DE1&quot;/&gt;&lt;wsp:rsid wsp:val=&quot;00B83F2E&quot;/&gt;&lt;wsp:rsid wsp:val=&quot;00B902B2&quot;/&gt;&lt;wsp:rsid wsp:val=&quot;00BA77E7&quot;/&gt;&lt;wsp:rsid wsp:val=&quot;00BE2258&quot;/&gt;&lt;wsp:rsid wsp:val=&quot;00BF1F78&quot;/&gt;&lt;wsp:rsid wsp:val=&quot;00C35C39&quot;/&gt;&lt;wsp:rsid wsp:val=&quot;00C447E1&quot;/&gt;&lt;wsp:rsid wsp:val=&quot;00C70A66&quot;/&gt;&lt;wsp:rsid wsp:val=&quot;00C7264B&quot;/&gt;&lt;wsp:rsid wsp:val=&quot;00C8332C&quot;/&gt;&lt;wsp:rsid wsp:val=&quot;00C86B16&quot;/&gt;&lt;wsp:rsid wsp:val=&quot;00CA4A7A&quot;/&gt;&lt;wsp:rsid wsp:val=&quot;00CB7CFC&quot;/&gt;&lt;wsp:rsid wsp:val=&quot;00CC16EC&quot;/&gt;&lt;wsp:rsid wsp:val=&quot;00CC6289&quot;/&gt;&lt;wsp:rsid wsp:val=&quot;00CD1153&quot;/&gt;&lt;wsp:rsid wsp:val=&quot;00CD3EF9&quot;/&gt;&lt;wsp:rsid wsp:val=&quot;00CF17B5&quot;/&gt;&lt;wsp:rsid wsp:val=&quot;00D0178F&quot;/&gt;&lt;wsp:rsid wsp:val=&quot;00D33E96&quot;/&gt;&lt;wsp:rsid wsp:val=&quot;00D410ED&quot;/&gt;&lt;wsp:rsid wsp:val=&quot;00D461A9&quot;/&gt;&lt;wsp:rsid wsp:val=&quot;00D553D3&quot;/&gt;&lt;wsp:rsid wsp:val=&quot;00D61BB0&quot;/&gt;&lt;wsp:rsid wsp:val=&quot;00DB0515&quot;/&gt;&lt;wsp:rsid wsp:val=&quot;00E017E4&quot;/&gt;&lt;wsp:rsid wsp:val=&quot;00E03492&quot;/&gt;&lt;wsp:rsid wsp:val=&quot;00E238B8&quot;/&gt;&lt;wsp:rsid wsp:val=&quot;00E33E85&quot;/&gt;&lt;wsp:rsid wsp:val=&quot;00E467C5&quot;/&gt;&lt;wsp:rsid wsp:val=&quot;00E9252E&quot;/&gt;&lt;wsp:rsid wsp:val=&quot;00E96E10&quot;/&gt;&lt;wsp:rsid wsp:val=&quot;00EA2631&quot;/&gt;&lt;wsp:rsid wsp:val=&quot;00EA7990&quot;/&gt;&lt;wsp:rsid wsp:val=&quot;00EB7804&quot;/&gt;&lt;wsp:rsid wsp:val=&quot;00EC7B40&quot;/&gt;&lt;wsp:rsid wsp:val=&quot;00ED2E01&quot;/&gt;&lt;wsp:rsid wsp:val=&quot;00EE1508&quot;/&gt;&lt;wsp:rsid wsp:val=&quot;00F22911&quot;/&gt;&lt;wsp:rsid wsp:val=&quot;00F45A84&quot;/&gt;&lt;wsp:rsid wsp:val=&quot;00F47CF7&quot;/&gt;&lt;wsp:rsid wsp:val=&quot;00F52B54&quot;/&gt;&lt;wsp:rsid wsp:val=&quot;00F6242E&quot;/&gt;&lt;wsp:rsid wsp:val=&quot;00F664E6&quot;/&gt;&lt;wsp:rsid wsp:val=&quot;00F724AE&quot;/&gt;&lt;wsp:rsid wsp:val=&quot;00FA33F1&quot;/&gt;&lt;wsp:rsid wsp:val=&quot;00FA7C67&quot;/&gt;&lt;wsp:rsid wsp:val=&quot;00FB2FD3&quot;/&gt;&lt;wsp:rsid wsp:val=&quot;00FD43E6&quot;/&gt;&lt;wsp:rsid wsp:val=&quot;00FE6A52&quot;/&gt;&lt;wsp:rsid wsp:val=&quot;00FF130A&quot;/&gt;&lt;/wsp:rsids&gt;&lt;/w:docPr&gt;&lt;w:body&gt;&lt;wx:sect&gt;&lt;w:p wsp:rsidR=&quot;00000000&quot; wsp:rsidRDefault=&quot;00D553D3&quot; wsp:rsidP=&quot;00D553D3&quot;&gt;&lt;m:oMathPara&gt;&lt;m:oMath&gt;&lt;m:sSub&gt;&lt;m:sSubPr&gt;&lt;m:ctrlPr&gt;&lt;w:rPr&gt;&lt;w:rFonts w:ascii=&quot;Cambria Math&quot; w:fareast=&quot;SimSun&quot; w:h-ansi=&quot;Cambria Math&quot;/&gt;&lt;wx:font wx:val=&quot;Cambria Math&quot;/&gt;&lt;w:b/&gt;&lt;w:b-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T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5" o:title="" chromakey="white"/>
          </v:shape>
        </w:pict>
      </w:r>
      <w:r>
        <w:rPr>
          <w:rFonts w:ascii="Times New Roman" w:hAnsi="Times New Roman"/>
          <w:i/>
          <w:iCs/>
          <w:sz w:val="20"/>
          <w:szCs w:val="20"/>
        </w:rPr>
        <w:instrText xml:space="preserve"> </w:instrText>
      </w:r>
      <w:r>
        <w:rPr>
          <w:rFonts w:ascii="Times New Roman" w:hAnsi="Times New Roman"/>
          <w:i/>
          <w:iCs/>
          <w:sz w:val="20"/>
          <w:szCs w:val="20"/>
        </w:rPr>
        <w:fldChar w:fldCharType="separate"/>
      </w:r>
      <w:r>
        <w:rPr>
          <w:rFonts w:ascii="Times New Roman" w:eastAsia="宋体" w:hAnsi="Times New Roman" w:cs="Times New Roman" w:hint="eastAsia"/>
          <w:position w:val="-10"/>
          <w:sz w:val="20"/>
          <w:szCs w:val="20"/>
        </w:rPr>
        <w:object w:dxaOrig="421" w:dyaOrig="343">
          <v:shape id="_x0000_i1074" type="#_x0000_t75" style="width:21pt;height:17pt" o:ole="">
            <v:imagedata r:id="rId22" o:title=""/>
          </v:shape>
          <o:OLEObject Type="Embed" ProgID="Equation.KSEE3" ShapeID="_x0000_i1074" DrawAspect="Content" ObjectID="_1697655913" r:id="rId76"/>
        </w:object>
      </w:r>
      <w:r>
        <w:rPr>
          <w:rFonts w:ascii="Times New Roman" w:hAnsi="Times New Roman"/>
          <w:i/>
          <w:iCs/>
          <w:sz w:val="20"/>
          <w:szCs w:val="20"/>
        </w:rPr>
        <w:fldChar w:fldCharType="end"/>
      </w:r>
      <w:r>
        <w:rPr>
          <w:rFonts w:ascii="Times New Roman" w:hAnsi="Times New Roman"/>
          <w:i/>
          <w:iCs/>
          <w:sz w:val="20"/>
          <w:szCs w:val="20"/>
        </w:rPr>
        <w:t xml:space="preserve"> is </w:t>
      </w:r>
      <w:r>
        <w:rPr>
          <w:rFonts w:ascii="Times New Roman" w:hAnsi="Times New Roman" w:hint="eastAsia"/>
          <w:i/>
          <w:iCs/>
          <w:sz w:val="20"/>
          <w:szCs w:val="20"/>
        </w:rPr>
        <w:t xml:space="preserve">calculated </w:t>
      </w:r>
      <w:r>
        <w:rPr>
          <w:rFonts w:ascii="Times New Roman" w:hAnsi="Times New Roman"/>
          <w:i/>
          <w:iCs/>
          <w:sz w:val="20"/>
          <w:szCs w:val="20"/>
        </w:rPr>
        <w:t>as follows:</w:t>
      </w:r>
    </w:p>
    <w:p w:rsidR="00EA0F38" w:rsidRDefault="0096751C">
      <w:pPr>
        <w:spacing w:beforeLines="50" w:before="120" w:afterLines="50" w:after="120" w:line="240" w:lineRule="auto"/>
        <w:ind w:left="420"/>
        <w:jc w:val="center"/>
        <w:rPr>
          <w:rFonts w:ascii="Times New Roman" w:hAnsi="Times New Roman"/>
          <w:i/>
          <w:iCs/>
          <w:sz w:val="20"/>
          <w:szCs w:val="20"/>
        </w:rPr>
      </w:pPr>
      <w:r>
        <w:rPr>
          <w:rFonts w:ascii="Times New Roman" w:eastAsia="宋体" w:hAnsi="Times New Roman" w:cs="Times New Roman" w:hint="eastAsia"/>
          <w:position w:val="-24"/>
          <w:sz w:val="20"/>
          <w:szCs w:val="20"/>
        </w:rPr>
        <w:object w:dxaOrig="1639" w:dyaOrig="631">
          <v:shape id="_x0000_i1075" type="#_x0000_t75" style="width:82pt;height:31.5pt" o:ole="">
            <v:imagedata r:id="rId36" o:title=""/>
          </v:shape>
          <o:OLEObject Type="Embed" ProgID="Equation.KSEE3" ShapeID="_x0000_i1075" DrawAspect="Content" ObjectID="_1697655914" r:id="rId77"/>
        </w:object>
      </w:r>
      <w:r>
        <w:rPr>
          <w:rFonts w:ascii="Times New Roman" w:hAnsi="Times New Roman" w:hint="eastAsia"/>
          <w:i/>
          <w:iCs/>
          <w:sz w:val="20"/>
          <w:szCs w:val="20"/>
        </w:rPr>
        <w:t>,</w:t>
      </w:r>
    </w:p>
    <w:p w:rsidR="00EA0F38" w:rsidRDefault="0096751C">
      <w:pPr>
        <w:spacing w:beforeLines="50" w:before="120" w:afterLines="50" w:after="120" w:line="240" w:lineRule="auto"/>
        <w:ind w:left="420"/>
        <w:jc w:val="both"/>
        <w:rPr>
          <w:rFonts w:ascii="Times New Roman" w:eastAsia="宋体" w:hAnsi="Times New Roman" w:cs="Times New Roman"/>
          <w:sz w:val="20"/>
          <w:szCs w:val="20"/>
        </w:rPr>
      </w:pPr>
      <w:proofErr w:type="gramStart"/>
      <w:r>
        <w:rPr>
          <w:rFonts w:ascii="Times New Roman" w:hAnsi="Times New Roman" w:hint="eastAsia"/>
          <w:i/>
          <w:iCs/>
          <w:sz w:val="20"/>
          <w:szCs w:val="20"/>
        </w:rPr>
        <w:t>where</w:t>
      </w:r>
      <w:proofErr w:type="gramEnd"/>
      <w:r>
        <w:rPr>
          <w:rFonts w:ascii="Times New Roman" w:hAnsi="Times New Roman" w:hint="eastAsia"/>
          <w:i/>
          <w:iCs/>
          <w:sz w:val="20"/>
          <w:szCs w:val="20"/>
        </w:rPr>
        <w:t xml:space="preserve"> </w:t>
      </w:r>
      <w:r>
        <w:rPr>
          <w:rFonts w:ascii="Times New Roman" w:eastAsia="宋体" w:hAnsi="Times New Roman" w:cs="Times New Roman" w:hint="eastAsia"/>
          <w:position w:val="-10"/>
          <w:sz w:val="20"/>
          <w:szCs w:val="20"/>
        </w:rPr>
        <w:object w:dxaOrig="277" w:dyaOrig="343">
          <v:shape id="_x0000_i1076" type="#_x0000_t75" style="width:14pt;height:17pt" o:ole="">
            <v:imagedata r:id="rId38" o:title=""/>
          </v:shape>
          <o:OLEObject Type="Embed" ProgID="Equation.KSEE3" ShapeID="_x0000_i1076" DrawAspect="Content" ObjectID="_1697655915" r:id="rId78"/>
        </w:object>
      </w:r>
      <w:r>
        <w:rPr>
          <w:rFonts w:ascii="Times New Roman" w:eastAsia="宋体" w:hAnsi="Times New Roman" w:cs="Times New Roman" w:hint="eastAsia"/>
          <w:position w:val="-14"/>
          <w:sz w:val="20"/>
          <w:szCs w:val="20"/>
        </w:rPr>
        <w:t xml:space="preserve"> </w:t>
      </w:r>
      <w:r>
        <w:rPr>
          <w:rFonts w:ascii="Times New Roman" w:hAnsi="Times New Roman" w:hint="eastAsia"/>
          <w:i/>
          <w:iCs/>
          <w:sz w:val="20"/>
          <w:szCs w:val="20"/>
        </w:rPr>
        <w:t>is the TAC filed received in msg2/</w:t>
      </w:r>
      <w:proofErr w:type="spellStart"/>
      <w:r>
        <w:rPr>
          <w:rFonts w:ascii="Times New Roman" w:hAnsi="Times New Roman" w:hint="eastAsia"/>
          <w:i/>
          <w:iCs/>
          <w:sz w:val="20"/>
          <w:szCs w:val="20"/>
        </w:rPr>
        <w:t>msgB</w:t>
      </w:r>
      <w:proofErr w:type="spellEnd"/>
      <w:r>
        <w:rPr>
          <w:rFonts w:ascii="Times New Roman" w:hAnsi="Times New Roman" w:hint="eastAsia"/>
          <w:i/>
          <w:iCs/>
          <w:sz w:val="20"/>
          <w:szCs w:val="20"/>
        </w:rPr>
        <w:t>.</w:t>
      </w:r>
    </w:p>
    <w:p w:rsidR="00EA0F38" w:rsidRDefault="0096751C">
      <w:pPr>
        <w:spacing w:beforeLines="50" w:before="120" w:afterLines="50" w:after="120" w:line="240" w:lineRule="auto"/>
        <w:ind w:left="420"/>
        <w:jc w:val="both"/>
        <w:rPr>
          <w:rFonts w:ascii="Times New Roman" w:eastAsia="宋体" w:hAnsi="Times New Roman" w:cs="Times New Roman"/>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6: </w:t>
      </w:r>
      <w:r>
        <w:rPr>
          <w:rFonts w:ascii="Times New Roman" w:eastAsia="宋体" w:hAnsi="Times New Roman" w:cs="Times New Roman" w:hint="eastAsia"/>
          <w:position w:val="-14"/>
          <w:sz w:val="20"/>
          <w:szCs w:val="20"/>
        </w:rPr>
        <w:object w:dxaOrig="1185" w:dyaOrig="377">
          <v:shape id="_x0000_i1077" type="#_x0000_t75" style="width:59.5pt;height:19pt" o:ole="">
            <v:imagedata r:id="rId24" o:title=""/>
          </v:shape>
          <o:OLEObject Type="Embed" ProgID="Equation.KSEE3" ShapeID="_x0000_i1077" DrawAspect="Content" ObjectID="_1697655916" r:id="rId79"/>
        </w:object>
      </w:r>
      <w:r>
        <w:rPr>
          <w:rFonts w:ascii="Times New Roman" w:eastAsia="宋体" w:hAnsi="Times New Roman" w:hint="eastAsia"/>
          <w:bCs/>
          <w:i/>
          <w:sz w:val="20"/>
          <w:szCs w:val="20"/>
        </w:rPr>
        <w:t xml:space="preserve"> is calculated/updated autonomously by the UE based on its GNSS acquired position and satellite ephemeris via implementation.</w:t>
      </w:r>
    </w:p>
    <w:p w:rsidR="00EA0F38" w:rsidRDefault="0096751C">
      <w:pPr>
        <w:pStyle w:val="ad"/>
        <w:numPr>
          <w:ilvl w:val="3"/>
          <w:numId w:val="0"/>
        </w:numPr>
        <w:spacing w:after="0" w:line="240" w:lineRule="auto"/>
        <w:ind w:leftChars="200" w:left="440"/>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7: </w:t>
      </w:r>
      <w:r>
        <w:rPr>
          <w:rFonts w:ascii="Times New Roman" w:eastAsia="宋体" w:hAnsi="Times New Roman" w:hint="eastAsia"/>
          <w:bCs/>
          <w:i/>
          <w:sz w:val="20"/>
          <w:szCs w:val="20"/>
        </w:rPr>
        <w:t>In RRC_IDLE,</w:t>
      </w:r>
      <w:r>
        <w:rPr>
          <w:rFonts w:ascii="Times New Roman" w:eastAsia="宋体" w:hAnsi="Times New Roman" w:hint="eastAsia"/>
          <w:b/>
          <w:i/>
          <w:sz w:val="20"/>
          <w:szCs w:val="20"/>
        </w:rPr>
        <w:t xml:space="preserve"> </w:t>
      </w:r>
      <w:r>
        <w:rPr>
          <w:rFonts w:ascii="Times New Roman" w:eastAsia="宋体" w:hAnsi="Times New Roman" w:cs="Times New Roman" w:hint="eastAsia"/>
          <w:position w:val="-14"/>
          <w:sz w:val="20"/>
          <w:szCs w:val="20"/>
        </w:rPr>
        <w:object w:dxaOrig="942" w:dyaOrig="377">
          <v:shape id="_x0000_i1078" type="#_x0000_t75" style="width:47pt;height:19pt" o:ole="">
            <v:imagedata r:id="rId26" o:title=""/>
          </v:shape>
          <o:OLEObject Type="Embed" ProgID="Equation.KSEE3" ShapeID="_x0000_i1078" DrawAspect="Content" ObjectID="_1697655917" r:id="rId80"/>
        </w:object>
      </w:r>
      <w:r>
        <w:rPr>
          <w:rFonts w:ascii="Times New Roman" w:eastAsia="宋体" w:hAnsi="Times New Roman" w:hint="eastAsia"/>
          <w:bCs/>
          <w:i/>
          <w:sz w:val="20"/>
          <w:szCs w:val="20"/>
        </w:rPr>
        <w:t xml:space="preserve"> is calculated/updated autonomously by the UE based on common TA parameters, epoch time of common TA, and UL transmission time via implementation. </w:t>
      </w:r>
    </w:p>
    <w:p w:rsidR="00EA0F38" w:rsidRDefault="0096751C">
      <w:pPr>
        <w:pStyle w:val="ad"/>
        <w:numPr>
          <w:ilvl w:val="3"/>
          <w:numId w:val="0"/>
        </w:numPr>
        <w:spacing w:after="0" w:line="240" w:lineRule="auto"/>
        <w:ind w:leftChars="200" w:left="440"/>
        <w:rPr>
          <w:rFonts w:ascii="Times New Roman" w:eastAsia="宋体" w:hAnsi="Times New Roman" w:cs="Times New Roman"/>
          <w:i/>
          <w:iCs/>
          <w:sz w:val="20"/>
          <w:szCs w:val="20"/>
        </w:rPr>
      </w:pPr>
      <w:r>
        <w:rPr>
          <w:rFonts w:ascii="Times New Roman" w:eastAsia="宋体" w:hAnsi="Times New Roman"/>
          <w:b/>
          <w:i/>
          <w:sz w:val="20"/>
          <w:szCs w:val="20"/>
        </w:rPr>
        <w:lastRenderedPageBreak/>
        <w:t>Proposal</w:t>
      </w:r>
      <w:r>
        <w:rPr>
          <w:rFonts w:ascii="Times New Roman" w:eastAsia="宋体" w:hAnsi="Times New Roman" w:hint="eastAsia"/>
          <w:b/>
          <w:i/>
          <w:sz w:val="20"/>
          <w:szCs w:val="20"/>
        </w:rPr>
        <w:t xml:space="preserve"> 8: </w:t>
      </w:r>
      <w:r>
        <w:rPr>
          <w:rFonts w:ascii="Times New Roman" w:eastAsia="宋体" w:hAnsi="Times New Roman" w:hint="eastAsia"/>
          <w:bCs/>
          <w:i/>
          <w:sz w:val="20"/>
          <w:szCs w:val="20"/>
        </w:rPr>
        <w:t>In RRC_CONNECTED,</w:t>
      </w:r>
      <w:r>
        <w:rPr>
          <w:rFonts w:ascii="Times New Roman" w:eastAsia="宋体" w:hAnsi="Times New Roman" w:hint="eastAsia"/>
          <w:b/>
          <w:i/>
          <w:sz w:val="20"/>
          <w:szCs w:val="20"/>
        </w:rPr>
        <w:t xml:space="preserve"> </w:t>
      </w:r>
      <w:r>
        <w:rPr>
          <w:rFonts w:ascii="Times New Roman" w:eastAsia="宋体" w:hAnsi="Times New Roman" w:cs="Times New Roman" w:hint="eastAsia"/>
          <w:position w:val="-14"/>
          <w:sz w:val="20"/>
          <w:szCs w:val="20"/>
        </w:rPr>
        <w:object w:dxaOrig="942" w:dyaOrig="377">
          <v:shape id="_x0000_i1079" type="#_x0000_t75" style="width:47pt;height:19pt" o:ole="">
            <v:imagedata r:id="rId26" o:title=""/>
          </v:shape>
          <o:OLEObject Type="Embed" ProgID="Equation.KSEE3" ShapeID="_x0000_i1079" DrawAspect="Content" ObjectID="_1697655918" r:id="rId81"/>
        </w:object>
      </w:r>
      <w:r>
        <w:rPr>
          <w:rFonts w:ascii="Times New Roman" w:eastAsia="宋体" w:hAnsi="Times New Roman" w:hint="eastAsia"/>
          <w:bCs/>
          <w:i/>
          <w:sz w:val="20"/>
          <w:szCs w:val="20"/>
        </w:rPr>
        <w:t xml:space="preserve"> is calculated/updated autonomously by the UE based on common TA parameters, epoch time of common TA, DL transmission time of scheduling information, and UL transmission time via implementation. </w:t>
      </w:r>
    </w:p>
    <w:p w:rsidR="00EA0F38" w:rsidRDefault="0096751C">
      <w:pPr>
        <w:spacing w:beforeLines="50" w:before="120" w:afterLines="50" w:after="120" w:line="240" w:lineRule="auto"/>
        <w:ind w:left="420"/>
        <w:jc w:val="both"/>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9: </w:t>
      </w:r>
      <w:r>
        <w:rPr>
          <w:rFonts w:ascii="Times New Roman" w:eastAsia="宋体" w:hAnsi="Times New Roman"/>
          <w:bCs/>
          <w:i/>
          <w:sz w:val="20"/>
          <w:szCs w:val="20"/>
        </w:rPr>
        <w:t>If no conclusion in RAN4 on this issue, the following solution should be specified to avoid the duplicated correction:</w:t>
      </w:r>
    </w:p>
    <w:p w:rsidR="00EA0F38" w:rsidRDefault="0096751C">
      <w:pPr>
        <w:pStyle w:val="ad"/>
        <w:numPr>
          <w:ilvl w:val="0"/>
          <w:numId w:val="16"/>
        </w:numPr>
        <w:spacing w:beforeLines="50" w:before="120" w:afterLines="50" w:after="120" w:line="240" w:lineRule="auto"/>
        <w:ind w:firstLineChars="0"/>
        <w:jc w:val="both"/>
        <w:rPr>
          <w:rFonts w:ascii="Times New Roman" w:eastAsia="宋体" w:hAnsi="Times New Roman"/>
          <w:bCs/>
          <w:i/>
          <w:sz w:val="20"/>
          <w:szCs w:val="20"/>
        </w:rPr>
      </w:pPr>
      <w:r>
        <w:rPr>
          <w:rFonts w:ascii="Times New Roman" w:eastAsia="宋体" w:hAnsi="Times New Roman" w:hint="eastAsia"/>
          <w:bCs/>
          <w:i/>
          <w:sz w:val="20"/>
          <w:szCs w:val="20"/>
        </w:rPr>
        <w:t xml:space="preserve">UE subtracts the difference between UE specific TAs derived based on new parameters and old parameters from the accumulative closed loop TA when new GNSS fix and/or new ephemeris are applied, i.e., </w:t>
      </w:r>
      <w:r>
        <w:rPr>
          <w:rFonts w:ascii="Times New Roman" w:eastAsia="宋体" w:hAnsi="Times New Roman" w:cs="Times New Roman" w:hint="eastAsia"/>
          <w:position w:val="-14"/>
          <w:sz w:val="20"/>
          <w:szCs w:val="20"/>
        </w:rPr>
        <w:object w:dxaOrig="3793" w:dyaOrig="378">
          <v:shape id="_x0000_i1080" type="#_x0000_t75" style="width:189.5pt;height:19pt" o:ole="">
            <v:imagedata r:id="rId63" o:title=""/>
          </v:shape>
          <o:OLEObject Type="Embed" ProgID="Equation.KSEE3" ShapeID="_x0000_i1080" DrawAspect="Content" ObjectID="_1697655919" r:id="rId82"/>
        </w:object>
      </w:r>
      <w:r>
        <w:rPr>
          <w:rFonts w:ascii="Times New Roman" w:eastAsia="宋体" w:hAnsi="Times New Roman" w:hint="eastAsia"/>
          <w:bCs/>
          <w:i/>
          <w:sz w:val="20"/>
          <w:szCs w:val="20"/>
        </w:rPr>
        <w:t>.</w:t>
      </w:r>
    </w:p>
    <w:p w:rsidR="00EA0F38" w:rsidRDefault="0096751C">
      <w:pPr>
        <w:pStyle w:val="ad"/>
        <w:numPr>
          <w:ilvl w:val="0"/>
          <w:numId w:val="16"/>
        </w:numPr>
        <w:spacing w:beforeLines="50" w:before="120" w:afterLines="50" w:after="120" w:line="240" w:lineRule="auto"/>
        <w:ind w:firstLineChars="0"/>
        <w:jc w:val="both"/>
        <w:rPr>
          <w:rFonts w:ascii="Times New Roman" w:eastAsia="宋体" w:hAnsi="Times New Roman"/>
          <w:bCs/>
          <w:i/>
          <w:sz w:val="20"/>
          <w:szCs w:val="20"/>
        </w:rPr>
      </w:pPr>
      <w:r>
        <w:rPr>
          <w:rFonts w:ascii="Times New Roman" w:eastAsia="宋体" w:hAnsi="Times New Roman" w:hint="eastAsia"/>
          <w:bCs/>
          <w:i/>
          <w:sz w:val="20"/>
          <w:szCs w:val="20"/>
        </w:rPr>
        <w:t>UE subtracts the difference between common TAs derived based on new parameters and old parameters from the accumulative closed loop TA when new common TA parameters are applied, i.e.</w:t>
      </w:r>
      <w:proofErr w:type="gramStart"/>
      <w:r>
        <w:rPr>
          <w:rFonts w:ascii="Times New Roman" w:eastAsia="宋体" w:hAnsi="Times New Roman" w:hint="eastAsia"/>
          <w:bCs/>
          <w:i/>
          <w:sz w:val="20"/>
          <w:szCs w:val="20"/>
        </w:rPr>
        <w:t xml:space="preserve">, </w:t>
      </w:r>
      <w:proofErr w:type="gramEnd"/>
      <w:r>
        <w:rPr>
          <w:rFonts w:ascii="Times New Roman" w:eastAsia="宋体" w:hAnsi="Times New Roman" w:cs="Times New Roman" w:hint="eastAsia"/>
          <w:position w:val="-14"/>
          <w:sz w:val="20"/>
          <w:szCs w:val="20"/>
        </w:rPr>
        <w:object w:dxaOrig="3328" w:dyaOrig="378">
          <v:shape id="_x0000_i1081" type="#_x0000_t75" style="width:166.5pt;height:19pt" o:ole="">
            <v:imagedata r:id="rId70" o:title=""/>
          </v:shape>
          <o:OLEObject Type="Embed" ProgID="Equation.KSEE3" ShapeID="_x0000_i1081" DrawAspect="Content" ObjectID="_1697655920" r:id="rId83"/>
        </w:object>
      </w:r>
      <w:r>
        <w:rPr>
          <w:rFonts w:ascii="Times New Roman" w:eastAsia="宋体" w:hAnsi="Times New Roman" w:hint="eastAsia"/>
          <w:bCs/>
          <w:i/>
          <w:sz w:val="20"/>
          <w:szCs w:val="20"/>
        </w:rPr>
        <w:t>.</w:t>
      </w:r>
    </w:p>
    <w:p w:rsidR="00EA0F38" w:rsidRDefault="0096751C">
      <w:pPr>
        <w:spacing w:after="120"/>
        <w:ind w:leftChars="200" w:left="440"/>
        <w:rPr>
          <w:rFonts w:ascii="Times New Roman" w:hAnsi="Times New Roman" w:cs="Times New Roman"/>
          <w:i/>
          <w:iCs/>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10: </w:t>
      </w:r>
      <w:r>
        <w:rPr>
          <w:rFonts w:ascii="Times New Roman" w:eastAsia="宋体" w:hAnsi="Times New Roman" w:cs="Times New Roman" w:hint="eastAsia"/>
          <w:i/>
          <w:iCs/>
          <w:sz w:val="20"/>
          <w:szCs w:val="20"/>
        </w:rPr>
        <w:t>A single validity duration for both common TA and ephemeris parameters should be broadcast by SIB per cell</w:t>
      </w:r>
      <w:r>
        <w:rPr>
          <w:rFonts w:ascii="Times New Roman" w:hAnsi="Times New Roman" w:cs="Times New Roman" w:hint="eastAsia"/>
          <w:i/>
          <w:iCs/>
          <w:sz w:val="20"/>
          <w:szCs w:val="20"/>
        </w:rPr>
        <w:t xml:space="preserve">. </w:t>
      </w:r>
    </w:p>
    <w:p w:rsidR="00052A59" w:rsidRDefault="00052A59" w:rsidP="00052A59">
      <w:pPr>
        <w:spacing w:after="120"/>
        <w:ind w:leftChars="200" w:left="440"/>
        <w:rPr>
          <w:rFonts w:ascii="Times New Roman" w:hAnsi="Times New Roman" w:cs="Times New Roman"/>
          <w:i/>
          <w:iCs/>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11: </w:t>
      </w:r>
      <w:r>
        <w:rPr>
          <w:rFonts w:ascii="Times New Roman" w:hAnsi="Times New Roman" w:cs="Times New Roman" w:hint="eastAsia"/>
          <w:i/>
          <w:iCs/>
          <w:sz w:val="20"/>
          <w:szCs w:val="20"/>
        </w:rPr>
        <w:t>The signaling granularity of validity duration can be chosen up</w:t>
      </w:r>
      <w:r>
        <w:rPr>
          <w:rFonts w:ascii="Times New Roman" w:hAnsi="Times New Roman" w:cs="Times New Roman"/>
          <w:i/>
          <w:iCs/>
          <w:sz w:val="20"/>
          <w:szCs w:val="20"/>
        </w:rPr>
        <w:t xml:space="preserve"> to one or more </w:t>
      </w:r>
      <w:r>
        <w:rPr>
          <w:rFonts w:ascii="Times New Roman" w:hAnsi="Times New Roman" w:cs="Times New Roman" w:hint="eastAsia"/>
          <w:i/>
          <w:iCs/>
          <w:sz w:val="20"/>
          <w:szCs w:val="20"/>
        </w:rPr>
        <w:t>second</w:t>
      </w:r>
      <w:r>
        <w:rPr>
          <w:rFonts w:ascii="Times New Roman" w:hAnsi="Times New Roman" w:cs="Times New Roman"/>
          <w:i/>
          <w:iCs/>
          <w:sz w:val="20"/>
          <w:szCs w:val="20"/>
        </w:rPr>
        <w:t>s with larger range to cover all potential cases</w:t>
      </w:r>
      <w:r>
        <w:rPr>
          <w:rFonts w:ascii="Times New Roman" w:hAnsi="Times New Roman" w:cs="Times New Roman" w:hint="eastAsia"/>
          <w:i/>
          <w:iCs/>
          <w:sz w:val="20"/>
          <w:szCs w:val="20"/>
        </w:rPr>
        <w:t>.</w:t>
      </w:r>
    </w:p>
    <w:p w:rsidR="00EA0F38" w:rsidRDefault="0096751C">
      <w:pPr>
        <w:spacing w:after="120"/>
        <w:ind w:leftChars="200" w:left="440"/>
        <w:rPr>
          <w:rFonts w:ascii="Times New Roman" w:hAnsi="Times New Roman" w:cs="Times New Roman"/>
          <w:i/>
          <w:iCs/>
          <w:sz w:val="20"/>
          <w:szCs w:val="20"/>
        </w:rPr>
      </w:pPr>
      <w:bookmarkStart w:id="11" w:name="_GoBack"/>
      <w:bookmarkEnd w:id="11"/>
      <w:r>
        <w:rPr>
          <w:rFonts w:ascii="Times New Roman" w:eastAsia="宋体" w:hAnsi="Times New Roman"/>
          <w:b/>
          <w:i/>
          <w:sz w:val="20"/>
          <w:szCs w:val="20"/>
        </w:rPr>
        <w:t>Proposal</w:t>
      </w:r>
      <w:r>
        <w:rPr>
          <w:rFonts w:ascii="Times New Roman" w:eastAsia="宋体" w:hAnsi="Times New Roman" w:hint="eastAsia"/>
          <w:b/>
          <w:i/>
          <w:sz w:val="20"/>
          <w:szCs w:val="20"/>
        </w:rPr>
        <w:t xml:space="preserve"> 12: </w:t>
      </w:r>
      <w:r>
        <w:rPr>
          <w:rFonts w:ascii="Times New Roman" w:eastAsia="宋体" w:hAnsi="Times New Roman" w:cs="Times New Roman" w:hint="eastAsia"/>
          <w:i/>
          <w:iCs/>
          <w:sz w:val="20"/>
          <w:szCs w:val="20"/>
        </w:rPr>
        <w:t xml:space="preserve">The </w:t>
      </w:r>
      <w:r>
        <w:rPr>
          <w:rFonts w:ascii="Times New Roman" w:hAnsi="Times New Roman" w:cs="Times New Roman" w:hint="eastAsia"/>
          <w:i/>
          <w:iCs/>
          <w:sz w:val="20"/>
          <w:szCs w:val="20"/>
        </w:rPr>
        <w:t>assistance information can be updated by UE through periodic SIB reading. The update period should be equal to or shorter than the validity duration to avoid synchronization loss during UL transmission.</w:t>
      </w:r>
    </w:p>
    <w:p w:rsidR="00EA0F38" w:rsidRDefault="0096751C">
      <w:pPr>
        <w:numPr>
          <w:ilvl w:val="255"/>
          <w:numId w:val="0"/>
        </w:numPr>
        <w:adjustRightInd w:val="0"/>
        <w:snapToGrid w:val="0"/>
        <w:spacing w:beforeLines="50" w:before="120" w:afterLines="50" w:after="120" w:line="260" w:lineRule="auto"/>
        <w:ind w:leftChars="200" w:left="440"/>
        <w:rPr>
          <w:rFonts w:ascii="Times New Roman" w:eastAsia="宋体" w:hAnsi="Times New Roman" w:cs="Times New Roman"/>
          <w:i/>
          <w:iCs/>
          <w:sz w:val="20"/>
          <w:szCs w:val="20"/>
        </w:rPr>
      </w:pPr>
      <w:r>
        <w:rPr>
          <w:rFonts w:ascii="Times New Roman" w:hAnsi="Times New Roman" w:cs="Times New Roman" w:hint="eastAsia"/>
          <w:b/>
          <w:i/>
          <w:sz w:val="20"/>
          <w:szCs w:val="20"/>
        </w:rPr>
        <w:t>Proposal</w:t>
      </w:r>
      <w:r>
        <w:rPr>
          <w:rFonts w:ascii="Times New Roman" w:hAnsi="Times New Roman" w:cs="Times New Roman"/>
          <w:b/>
          <w:i/>
          <w:sz w:val="20"/>
          <w:szCs w:val="20"/>
        </w:rPr>
        <w:t xml:space="preserve"> </w:t>
      </w:r>
      <w:r>
        <w:rPr>
          <w:rFonts w:ascii="Times New Roman" w:hAnsi="Times New Roman" w:cs="Times New Roman" w:hint="eastAsia"/>
          <w:b/>
          <w:i/>
          <w:sz w:val="20"/>
          <w:szCs w:val="20"/>
        </w:rPr>
        <w:t>13</w:t>
      </w:r>
      <w:r>
        <w:rPr>
          <w:rFonts w:ascii="Times New Roman" w:hAnsi="Times New Roman" w:cs="Times New Roman"/>
          <w:b/>
          <w:i/>
          <w:sz w:val="20"/>
          <w:szCs w:val="20"/>
        </w:rPr>
        <w:t>:</w:t>
      </w:r>
      <w:r>
        <w:rPr>
          <w:rFonts w:ascii="Times New Roman" w:hAnsi="Times New Roman" w:cs="Times New Roman" w:hint="eastAsia"/>
          <w:i/>
          <w:sz w:val="20"/>
          <w:szCs w:val="20"/>
        </w:rPr>
        <w:t xml:space="preserve"> </w:t>
      </w:r>
      <w:r>
        <w:rPr>
          <w:rFonts w:ascii="Times New Roman" w:eastAsia="宋体" w:hAnsi="Times New Roman" w:hint="eastAsia"/>
          <w:i/>
          <w:sz w:val="20"/>
          <w:szCs w:val="20"/>
        </w:rPr>
        <w:t>The epoch time of assistance information can be implicitly indicated to UE using SFN and subframe index</w:t>
      </w:r>
      <w:r>
        <w:rPr>
          <w:rFonts w:ascii="Times New Roman" w:eastAsia="宋体" w:hAnsi="Times New Roman" w:cs="Times New Roman" w:hint="eastAsia"/>
          <w:i/>
          <w:iCs/>
          <w:sz w:val="20"/>
          <w:szCs w:val="20"/>
        </w:rPr>
        <w:t>.</w:t>
      </w:r>
    </w:p>
    <w:p w:rsidR="00EA0F38" w:rsidRDefault="0096751C">
      <w:pPr>
        <w:numPr>
          <w:ilvl w:val="255"/>
          <w:numId w:val="0"/>
        </w:numPr>
        <w:adjustRightInd w:val="0"/>
        <w:snapToGrid w:val="0"/>
        <w:spacing w:beforeLines="50" w:before="120" w:afterLines="50" w:after="120" w:line="260" w:lineRule="auto"/>
        <w:ind w:leftChars="200" w:left="440"/>
        <w:rPr>
          <w:rFonts w:ascii="Times New Roman" w:eastAsia="宋体" w:hAnsi="Times New Roman" w:cs="Times New Roman"/>
          <w:i/>
          <w:iCs/>
          <w:sz w:val="20"/>
          <w:szCs w:val="20"/>
        </w:rPr>
      </w:pPr>
      <w:r>
        <w:rPr>
          <w:rFonts w:ascii="Times New Roman" w:hAnsi="Times New Roman" w:cs="Times New Roman" w:hint="eastAsia"/>
          <w:b/>
          <w:i/>
          <w:sz w:val="20"/>
          <w:szCs w:val="20"/>
        </w:rPr>
        <w:t>Proposal</w:t>
      </w:r>
      <w:r>
        <w:rPr>
          <w:rFonts w:ascii="Times New Roman" w:hAnsi="Times New Roman" w:cs="Times New Roman"/>
          <w:b/>
          <w:i/>
          <w:sz w:val="20"/>
          <w:szCs w:val="20"/>
        </w:rPr>
        <w:t xml:space="preserve"> </w:t>
      </w:r>
      <w:r>
        <w:rPr>
          <w:rFonts w:ascii="Times New Roman" w:hAnsi="Times New Roman" w:cs="Times New Roman" w:hint="eastAsia"/>
          <w:b/>
          <w:i/>
          <w:sz w:val="20"/>
          <w:szCs w:val="20"/>
        </w:rPr>
        <w:t>14</w:t>
      </w:r>
      <w:r>
        <w:rPr>
          <w:rFonts w:ascii="Times New Roman" w:hAnsi="Times New Roman" w:cs="Times New Roman"/>
          <w:b/>
          <w:i/>
          <w:sz w:val="20"/>
          <w:szCs w:val="20"/>
        </w:rPr>
        <w:t>:</w:t>
      </w:r>
      <w:r>
        <w:rPr>
          <w:rFonts w:ascii="Times New Roman" w:hAnsi="Times New Roman" w:cs="Times New Roman" w:hint="eastAsia"/>
          <w:i/>
          <w:sz w:val="20"/>
          <w:szCs w:val="20"/>
        </w:rPr>
        <w:t xml:space="preserve"> </w:t>
      </w:r>
      <w:r>
        <w:rPr>
          <w:rFonts w:ascii="Times New Roman" w:eastAsia="宋体" w:hAnsi="Times New Roman" w:hint="eastAsia"/>
          <w:i/>
          <w:sz w:val="20"/>
          <w:szCs w:val="20"/>
        </w:rPr>
        <w:t>The reference point for epoch time should be satellite</w:t>
      </w:r>
      <w:r>
        <w:rPr>
          <w:rFonts w:ascii="Times New Roman" w:eastAsia="宋体" w:hAnsi="Times New Roman" w:cs="Times New Roman" w:hint="eastAsia"/>
          <w:i/>
          <w:iCs/>
          <w:sz w:val="20"/>
          <w:szCs w:val="20"/>
        </w:rPr>
        <w:t>.</w:t>
      </w:r>
    </w:p>
    <w:p w:rsidR="00EA0F38" w:rsidRDefault="0096751C">
      <w:pPr>
        <w:ind w:leftChars="200" w:left="440"/>
        <w:jc w:val="both"/>
        <w:rPr>
          <w:rFonts w:ascii="Times New Roman" w:eastAsia="宋体" w:hAnsi="Times New Roman" w:cs="Times New Roman"/>
          <w:i/>
          <w:iCs/>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15: </w:t>
      </w:r>
      <w:r>
        <w:rPr>
          <w:rFonts w:ascii="Times New Roman" w:eastAsia="宋体" w:hAnsi="Times New Roman" w:hint="eastAsia"/>
          <w:i/>
          <w:sz w:val="20"/>
          <w:szCs w:val="20"/>
        </w:rPr>
        <w:t>With consideration on the limited time, it is recommended to deprioritize support of common DL frequency compensation for the service link Doppler shift in Rel-17</w:t>
      </w:r>
      <w:r>
        <w:rPr>
          <w:rFonts w:ascii="Times New Roman" w:eastAsia="宋体" w:hAnsi="Times New Roman"/>
          <w:i/>
          <w:sz w:val="20"/>
          <w:szCs w:val="20"/>
        </w:rPr>
        <w:t>.</w:t>
      </w:r>
    </w:p>
    <w:p w:rsidR="00EA0F38" w:rsidRDefault="0096751C">
      <w:pPr>
        <w:ind w:leftChars="200" w:left="440"/>
        <w:rPr>
          <w:rFonts w:ascii="Times New Roman" w:hAnsi="Times New Roman" w:cs="Times New Roman"/>
          <w:i/>
          <w:sz w:val="20"/>
          <w:szCs w:val="20"/>
        </w:rPr>
      </w:pPr>
      <w:r>
        <w:rPr>
          <w:rFonts w:ascii="Times New Roman" w:hAnsi="Times New Roman" w:cs="Times New Roman" w:hint="eastAsia"/>
          <w:b/>
          <w:i/>
          <w:sz w:val="20"/>
          <w:szCs w:val="20"/>
        </w:rPr>
        <w:t>Proposal</w:t>
      </w:r>
      <w:r>
        <w:rPr>
          <w:rFonts w:ascii="Times New Roman" w:hAnsi="Times New Roman" w:cs="Times New Roman"/>
          <w:b/>
          <w:i/>
          <w:sz w:val="20"/>
          <w:szCs w:val="20"/>
        </w:rPr>
        <w:t xml:space="preserve"> </w:t>
      </w:r>
      <w:r>
        <w:rPr>
          <w:rFonts w:ascii="Times New Roman" w:hAnsi="Times New Roman" w:cs="Times New Roman" w:hint="eastAsia"/>
          <w:b/>
          <w:i/>
          <w:sz w:val="20"/>
          <w:szCs w:val="20"/>
        </w:rPr>
        <w:t>16</w:t>
      </w:r>
      <w:r>
        <w:rPr>
          <w:rFonts w:ascii="Times New Roman" w:hAnsi="Times New Roman" w:cs="Times New Roman"/>
          <w:b/>
          <w:i/>
          <w:sz w:val="20"/>
          <w:szCs w:val="20"/>
        </w:rPr>
        <w:t>:</w:t>
      </w:r>
      <w:r>
        <w:rPr>
          <w:rFonts w:ascii="Times New Roman" w:hAnsi="Times New Roman" w:cs="Times New Roman" w:hint="eastAsia"/>
          <w:i/>
          <w:sz w:val="20"/>
          <w:szCs w:val="20"/>
        </w:rPr>
        <w:t xml:space="preserve"> Use relative position in HAPS ephemeris to take advantages of the limited visible region</w:t>
      </w:r>
    </w:p>
    <w:p w:rsidR="00EA0F38" w:rsidRDefault="0096751C">
      <w:pPr>
        <w:ind w:leftChars="200" w:left="440"/>
        <w:rPr>
          <w:rFonts w:ascii="Times New Roman" w:hAnsi="Times New Roman" w:cs="Times New Roman"/>
          <w:i/>
          <w:sz w:val="20"/>
          <w:szCs w:val="20"/>
        </w:rPr>
      </w:pPr>
      <w:r>
        <w:rPr>
          <w:rFonts w:ascii="Times New Roman" w:hAnsi="Times New Roman" w:cs="Times New Roman" w:hint="eastAsia"/>
          <w:b/>
          <w:i/>
          <w:sz w:val="20"/>
          <w:szCs w:val="20"/>
        </w:rPr>
        <w:t>Proposal</w:t>
      </w:r>
      <w:r>
        <w:rPr>
          <w:rFonts w:ascii="Times New Roman" w:hAnsi="Times New Roman" w:cs="Times New Roman"/>
          <w:b/>
          <w:i/>
          <w:sz w:val="20"/>
          <w:szCs w:val="20"/>
        </w:rPr>
        <w:t xml:space="preserve"> </w:t>
      </w:r>
      <w:r>
        <w:rPr>
          <w:rFonts w:ascii="Times New Roman" w:hAnsi="Times New Roman" w:cs="Times New Roman" w:hint="eastAsia"/>
          <w:b/>
          <w:i/>
          <w:sz w:val="20"/>
          <w:szCs w:val="20"/>
        </w:rPr>
        <w:t>17</w:t>
      </w:r>
      <w:r>
        <w:rPr>
          <w:rFonts w:ascii="Times New Roman" w:hAnsi="Times New Roman" w:cs="Times New Roman"/>
          <w:b/>
          <w:i/>
          <w:sz w:val="20"/>
          <w:szCs w:val="20"/>
        </w:rPr>
        <w:t>:</w:t>
      </w:r>
      <w:r>
        <w:rPr>
          <w:rFonts w:ascii="Times New Roman" w:hAnsi="Times New Roman" w:cs="Times New Roman" w:hint="eastAsia"/>
          <w:i/>
          <w:sz w:val="20"/>
          <w:szCs w:val="20"/>
        </w:rPr>
        <w:t xml:space="preserve"> Allocate 78 bits for HAPS ephemeris</w:t>
      </w:r>
    </w:p>
    <w:p w:rsidR="00EA0F38" w:rsidRDefault="0096751C">
      <w:pPr>
        <w:ind w:leftChars="200" w:left="440"/>
        <w:rPr>
          <w:rFonts w:ascii="Times New Roman" w:hAnsi="Times New Roman" w:cs="Times New Roman"/>
          <w:i/>
          <w:sz w:val="20"/>
          <w:szCs w:val="20"/>
        </w:rPr>
      </w:pPr>
      <w:r>
        <w:rPr>
          <w:rFonts w:ascii="Times New Roman" w:hAnsi="Times New Roman" w:cs="Times New Roman" w:hint="eastAsia"/>
          <w:b/>
          <w:i/>
          <w:sz w:val="20"/>
          <w:szCs w:val="20"/>
        </w:rPr>
        <w:t>Proposal</w:t>
      </w:r>
      <w:r>
        <w:rPr>
          <w:rFonts w:ascii="Times New Roman" w:hAnsi="Times New Roman" w:cs="Times New Roman"/>
          <w:b/>
          <w:i/>
          <w:sz w:val="20"/>
          <w:szCs w:val="20"/>
        </w:rPr>
        <w:t xml:space="preserve"> </w:t>
      </w:r>
      <w:r>
        <w:rPr>
          <w:rFonts w:ascii="Times New Roman" w:hAnsi="Times New Roman" w:cs="Times New Roman" w:hint="eastAsia"/>
          <w:b/>
          <w:i/>
          <w:sz w:val="20"/>
          <w:szCs w:val="20"/>
        </w:rPr>
        <w:t>18</w:t>
      </w:r>
      <w:r>
        <w:rPr>
          <w:rFonts w:ascii="Times New Roman" w:hAnsi="Times New Roman" w:cs="Times New Roman"/>
          <w:b/>
          <w:i/>
          <w:sz w:val="20"/>
          <w:szCs w:val="20"/>
        </w:rPr>
        <w:t>:</w:t>
      </w:r>
      <w:r>
        <w:rPr>
          <w:rFonts w:ascii="Times New Roman" w:hAnsi="Times New Roman" w:cs="Times New Roman" w:hint="eastAsia"/>
          <w:i/>
          <w:sz w:val="20"/>
          <w:szCs w:val="20"/>
        </w:rPr>
        <w:t xml:space="preserve"> Different network types may have different allocated bits number, to further reduce the signalling overhead.</w:t>
      </w:r>
    </w:p>
    <w:p w:rsidR="00EA0F38" w:rsidRDefault="0096751C">
      <w:pPr>
        <w:ind w:leftChars="200" w:left="440"/>
        <w:rPr>
          <w:rFonts w:ascii="Times New Roman" w:hAnsi="Times New Roman" w:cs="Times New Roman"/>
          <w:i/>
          <w:sz w:val="20"/>
          <w:szCs w:val="20"/>
        </w:rPr>
      </w:pPr>
      <w:r>
        <w:rPr>
          <w:rFonts w:ascii="Times New Roman" w:hAnsi="Times New Roman" w:cs="Times New Roman" w:hint="eastAsia"/>
          <w:b/>
          <w:i/>
          <w:sz w:val="20"/>
          <w:szCs w:val="20"/>
        </w:rPr>
        <w:t>Proposal</w:t>
      </w:r>
      <w:r>
        <w:rPr>
          <w:rFonts w:ascii="Times New Roman" w:hAnsi="Times New Roman" w:cs="Times New Roman"/>
          <w:b/>
          <w:i/>
          <w:sz w:val="20"/>
          <w:szCs w:val="20"/>
        </w:rPr>
        <w:t xml:space="preserve"> </w:t>
      </w:r>
      <w:r>
        <w:rPr>
          <w:rFonts w:ascii="Times New Roman" w:hAnsi="Times New Roman" w:cs="Times New Roman" w:hint="eastAsia"/>
          <w:b/>
          <w:i/>
          <w:sz w:val="20"/>
          <w:szCs w:val="20"/>
        </w:rPr>
        <w:t>19</w:t>
      </w:r>
      <w:r>
        <w:rPr>
          <w:rFonts w:ascii="Times New Roman" w:hAnsi="Times New Roman" w:cs="Times New Roman"/>
          <w:b/>
          <w:i/>
          <w:sz w:val="20"/>
          <w:szCs w:val="20"/>
        </w:rPr>
        <w:t>:</w:t>
      </w:r>
      <w:r>
        <w:rPr>
          <w:rFonts w:ascii="Times New Roman" w:hAnsi="Times New Roman" w:cs="Times New Roman" w:hint="eastAsia"/>
          <w:i/>
          <w:sz w:val="20"/>
          <w:szCs w:val="20"/>
        </w:rPr>
        <w:t xml:space="preserve"> Considering relative position in satellite ephemeris to further reduce signalling overhead.</w:t>
      </w:r>
    </w:p>
    <w:p w:rsidR="00EA0F38" w:rsidRDefault="0096751C">
      <w:pPr>
        <w:tabs>
          <w:tab w:val="left" w:pos="420"/>
        </w:tabs>
        <w:spacing w:after="120"/>
        <w:ind w:left="420"/>
        <w:rPr>
          <w:rFonts w:ascii="Times New Roman" w:eastAsia="宋体" w:hAnsi="Times New Roman" w:cs="Times New Roman"/>
          <w:i/>
          <w:iCs/>
          <w:position w:val="-14"/>
          <w:sz w:val="20"/>
          <w:szCs w:val="20"/>
        </w:rPr>
      </w:pPr>
      <w:r>
        <w:rPr>
          <w:rFonts w:ascii="Times New Roman" w:eastAsia="宋体" w:hAnsi="Times New Roman" w:cs="Times New Roman" w:hint="eastAsia"/>
          <w:b/>
          <w:bCs/>
          <w:i/>
          <w:iCs/>
          <w:position w:val="-14"/>
          <w:sz w:val="20"/>
          <w:szCs w:val="20"/>
        </w:rPr>
        <w:t>Proposal 20:</w:t>
      </w:r>
      <w:r>
        <w:rPr>
          <w:rFonts w:ascii="Times New Roman" w:eastAsia="宋体" w:hAnsi="Times New Roman" w:cs="Times New Roman" w:hint="eastAsia"/>
          <w:i/>
          <w:iCs/>
          <w:position w:val="-14"/>
          <w:sz w:val="20"/>
          <w:szCs w:val="20"/>
        </w:rPr>
        <w:t xml:space="preserve"> For the format based on orbital elements, following methods can be considered to further optimize the signaling load:</w:t>
      </w:r>
    </w:p>
    <w:p w:rsidR="00EA0F38" w:rsidRDefault="0096751C">
      <w:pPr>
        <w:numPr>
          <w:ilvl w:val="0"/>
          <w:numId w:val="20"/>
        </w:numPr>
        <w:spacing w:after="120"/>
        <w:rPr>
          <w:rFonts w:ascii="Times New Roman" w:eastAsia="宋体" w:hAnsi="Times New Roman" w:cs="Times New Roman"/>
          <w:i/>
          <w:iCs/>
          <w:position w:val="-14"/>
          <w:sz w:val="20"/>
          <w:szCs w:val="20"/>
        </w:rPr>
      </w:pPr>
      <w:r>
        <w:rPr>
          <w:rFonts w:ascii="Times New Roman" w:eastAsia="宋体" w:hAnsi="Times New Roman" w:cs="Times New Roman" w:hint="eastAsia"/>
          <w:i/>
          <w:iCs/>
          <w:position w:val="-14"/>
          <w:sz w:val="20"/>
          <w:szCs w:val="20"/>
        </w:rPr>
        <w:t xml:space="preserve">Indicate the first five parameters and the associated index to the UEs as </w:t>
      </w:r>
      <w:r>
        <w:rPr>
          <w:rFonts w:ascii="Times New Roman" w:eastAsia="宋体" w:hAnsi="Times New Roman" w:cs="Times New Roman" w:hint="eastAsia"/>
          <w:position w:val="-14"/>
          <w:sz w:val="20"/>
          <w:szCs w:val="20"/>
        </w:rPr>
        <w:t>pre-provisioned</w:t>
      </w:r>
      <w:r>
        <w:rPr>
          <w:rFonts w:ascii="Times New Roman" w:eastAsia="宋体" w:hAnsi="Times New Roman" w:cs="Times New Roman" w:hint="eastAsia"/>
          <w:i/>
          <w:iCs/>
          <w:position w:val="-14"/>
          <w:sz w:val="20"/>
          <w:szCs w:val="20"/>
        </w:rPr>
        <w:t xml:space="preserve"> reference </w:t>
      </w:r>
      <w:r>
        <w:rPr>
          <w:rFonts w:ascii="Times New Roman" w:eastAsia="宋体" w:hAnsi="Times New Roman" w:cs="Times New Roman"/>
          <w:i/>
          <w:iCs/>
          <w:position w:val="-14"/>
          <w:sz w:val="20"/>
          <w:szCs w:val="20"/>
        </w:rPr>
        <w:t>ephemeris</w:t>
      </w:r>
      <w:r>
        <w:rPr>
          <w:rFonts w:ascii="Times New Roman" w:eastAsia="宋体" w:hAnsi="Times New Roman" w:cs="Times New Roman" w:hint="eastAsia"/>
          <w:i/>
          <w:iCs/>
          <w:position w:val="-14"/>
          <w:sz w:val="20"/>
          <w:szCs w:val="20"/>
        </w:rPr>
        <w:t xml:space="preserve"> </w:t>
      </w:r>
    </w:p>
    <w:p w:rsidR="00EA0F38" w:rsidRDefault="0096751C">
      <w:pPr>
        <w:numPr>
          <w:ilvl w:val="0"/>
          <w:numId w:val="20"/>
        </w:numPr>
        <w:spacing w:after="120"/>
        <w:rPr>
          <w:rFonts w:ascii="Times New Roman" w:eastAsia="宋体" w:hAnsi="Times New Roman" w:cs="Times New Roman"/>
          <w:i/>
          <w:iCs/>
          <w:position w:val="-14"/>
          <w:sz w:val="20"/>
          <w:szCs w:val="20"/>
        </w:rPr>
      </w:pPr>
      <w:r>
        <w:rPr>
          <w:rFonts w:ascii="Times New Roman" w:eastAsia="宋体" w:hAnsi="Times New Roman" w:cs="Times New Roman" w:hint="eastAsia"/>
          <w:i/>
          <w:iCs/>
          <w:position w:val="-14"/>
          <w:sz w:val="20"/>
          <w:szCs w:val="20"/>
        </w:rPr>
        <w:t>Use delta correction in the form of PV.</w:t>
      </w:r>
    </w:p>
    <w:p w:rsidR="00EA0F38" w:rsidRDefault="0096751C" w:rsidP="00F9464B">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textAlignment w:val="auto"/>
        <w:rPr>
          <w:rFonts w:ascii="Times New Roman" w:eastAsia="黑体" w:hAnsi="Times New Roman" w:cs="Times New Roman"/>
          <w:b/>
          <w:bCs/>
          <w:sz w:val="28"/>
          <w:szCs w:val="30"/>
          <w:lang w:val="en-US"/>
        </w:rPr>
      </w:pPr>
      <w:bookmarkStart w:id="12" w:name="_Ref21583"/>
      <w:r>
        <w:rPr>
          <w:rFonts w:ascii="Times New Roman" w:eastAsia="黑体" w:hAnsi="Times New Roman" w:cs="Times New Roman" w:hint="eastAsia"/>
          <w:b/>
          <w:bCs/>
          <w:sz w:val="28"/>
          <w:szCs w:val="30"/>
          <w:lang w:val="en-US"/>
        </w:rPr>
        <w:t>A</w:t>
      </w:r>
      <w:bookmarkEnd w:id="12"/>
      <w:r>
        <w:rPr>
          <w:rFonts w:ascii="Times New Roman" w:eastAsia="黑体" w:hAnsi="Times New Roman" w:cs="Times New Roman" w:hint="eastAsia"/>
          <w:b/>
          <w:bCs/>
          <w:sz w:val="28"/>
          <w:szCs w:val="30"/>
          <w:lang w:val="en-US"/>
        </w:rPr>
        <w:t>ppendix</w:t>
      </w:r>
    </w:p>
    <w:p w:rsidR="00EA0F38" w:rsidRDefault="0096751C" w:rsidP="00F9464B">
      <w:pPr>
        <w:pStyle w:val="2"/>
        <w:rPr>
          <w:rFonts w:ascii="Times New Roman" w:eastAsia="宋体" w:hAnsi="Times New Roman" w:cs="Times New Roman"/>
          <w:sz w:val="24"/>
          <w:szCs w:val="24"/>
          <w:lang w:val="en-US"/>
        </w:rPr>
      </w:pPr>
      <w:bookmarkStart w:id="13" w:name="_Ref26521"/>
      <w:bookmarkStart w:id="14" w:name="_Ref21094"/>
      <w:r>
        <w:rPr>
          <w:rFonts w:ascii="Times New Roman" w:eastAsia="宋体" w:hAnsi="Times New Roman" w:cs="Times New Roman" w:hint="eastAsia"/>
          <w:sz w:val="24"/>
          <w:szCs w:val="24"/>
          <w:lang w:val="en-US"/>
        </w:rPr>
        <w:t>Bit size for relative position</w:t>
      </w:r>
      <w:bookmarkEnd w:id="13"/>
      <w:r>
        <w:rPr>
          <w:rFonts w:ascii="Times New Roman" w:eastAsia="宋体" w:hAnsi="Times New Roman" w:cs="Times New Roman" w:hint="eastAsia"/>
          <w:sz w:val="24"/>
          <w:szCs w:val="24"/>
          <w:lang w:val="en-US"/>
        </w:rPr>
        <w:t xml:space="preserve"> of HAPS</w:t>
      </w:r>
      <w:bookmarkEnd w:id="14"/>
    </w:p>
    <w:p w:rsidR="00EA0F38" w:rsidRDefault="0096751C">
      <w:pPr>
        <w:pStyle w:val="ListParagraph1"/>
        <w:spacing w:beforeLines="50" w:before="120" w:afterLines="50" w:after="120" w:line="240" w:lineRule="auto"/>
        <w:ind w:leftChars="200" w:left="440"/>
        <w:contextualSpacing w:val="0"/>
        <w:rPr>
          <w:rFonts w:ascii="Times New Roman" w:hAnsi="Times New Roman" w:cs="Times New Roman"/>
          <w:sz w:val="20"/>
          <w:szCs w:val="20"/>
        </w:rPr>
      </w:pPr>
      <w:r>
        <w:rPr>
          <w:rFonts w:ascii="Times New Roman" w:hAnsi="Times New Roman" w:cs="Times New Roman" w:hint="eastAsia"/>
          <w:sz w:val="20"/>
          <w:szCs w:val="20"/>
        </w:rPr>
        <w:t xml:space="preserve">In NTN, a UE is assumed to have GNSS capability. With its own position, a UE can reduce the possible region of the source of the transmitted signal. As shown in </w:t>
      </w:r>
      <w:r>
        <w:rPr>
          <w:rFonts w:ascii="Times New Roman" w:hAnsi="Times New Roman" w:cs="Times New Roman" w:hint="eastAsia"/>
          <w:sz w:val="20"/>
          <w:szCs w:val="20"/>
        </w:rPr>
        <w:fldChar w:fldCharType="begin"/>
      </w:r>
      <w:r>
        <w:rPr>
          <w:rFonts w:ascii="Times New Roman" w:hAnsi="Times New Roman" w:cs="Times New Roman" w:hint="eastAsia"/>
          <w:sz w:val="20"/>
          <w:szCs w:val="20"/>
        </w:rPr>
        <w:instrText xml:space="preserve"> REF _Ref510 \h </w:instrText>
      </w:r>
      <w:r>
        <w:rPr>
          <w:rFonts w:ascii="Times New Roman" w:hAnsi="Times New Roman" w:cs="Times New Roman" w:hint="eastAsia"/>
          <w:sz w:val="20"/>
          <w:szCs w:val="20"/>
        </w:rPr>
      </w:r>
      <w:r>
        <w:rPr>
          <w:rFonts w:ascii="Times New Roman" w:hAnsi="Times New Roman" w:cs="Times New Roman" w:hint="eastAsia"/>
          <w:sz w:val="20"/>
          <w:szCs w:val="20"/>
        </w:rPr>
        <w:fldChar w:fldCharType="separate"/>
      </w:r>
      <w:r>
        <w:rPr>
          <w:rFonts w:ascii="Times New Roman" w:hAnsi="Times New Roman" w:cs="Times New Roman" w:hint="eastAsia"/>
          <w:sz w:val="20"/>
          <w:szCs w:val="20"/>
        </w:rPr>
        <w:t>Figure 3</w:t>
      </w:r>
      <w:r>
        <w:rPr>
          <w:rFonts w:ascii="Times New Roman" w:hAnsi="Times New Roman" w:cs="Times New Roman" w:hint="eastAsia"/>
          <w:sz w:val="20"/>
          <w:szCs w:val="20"/>
        </w:rPr>
        <w:fldChar w:fldCharType="end"/>
      </w:r>
      <w:r>
        <w:rPr>
          <w:rFonts w:ascii="Times New Roman" w:hAnsi="Times New Roman" w:cs="Times New Roman" w:hint="eastAsia"/>
          <w:sz w:val="20"/>
          <w:szCs w:val="20"/>
        </w:rPr>
        <w:t xml:space="preserve">, the visible region is defined as the region that the signal from outsider is too weak for the UE to access or beyond the minimum serving elevation angle of corresponding NTN system. When a small grid in </w:t>
      </w:r>
      <w:r>
        <w:rPr>
          <w:rFonts w:ascii="Times New Roman" w:hAnsi="Times New Roman" w:cs="Times New Roman" w:hint="eastAsia"/>
          <w:sz w:val="20"/>
          <w:szCs w:val="20"/>
        </w:rPr>
        <w:fldChar w:fldCharType="begin"/>
      </w:r>
      <w:r>
        <w:rPr>
          <w:rFonts w:ascii="Times New Roman" w:hAnsi="Times New Roman" w:cs="Times New Roman" w:hint="eastAsia"/>
          <w:sz w:val="20"/>
          <w:szCs w:val="20"/>
        </w:rPr>
        <w:instrText xml:space="preserve"> REF _Ref510 \h </w:instrText>
      </w:r>
      <w:r>
        <w:rPr>
          <w:rFonts w:ascii="Times New Roman" w:hAnsi="Times New Roman" w:cs="Times New Roman" w:hint="eastAsia"/>
          <w:sz w:val="20"/>
          <w:szCs w:val="20"/>
        </w:rPr>
      </w:r>
      <w:r>
        <w:rPr>
          <w:rFonts w:ascii="Times New Roman" w:hAnsi="Times New Roman" w:cs="Times New Roman" w:hint="eastAsia"/>
          <w:sz w:val="20"/>
          <w:szCs w:val="20"/>
        </w:rPr>
        <w:fldChar w:fldCharType="separate"/>
      </w:r>
      <w:r>
        <w:rPr>
          <w:rFonts w:ascii="Times New Roman" w:hAnsi="Times New Roman" w:cs="Times New Roman" w:hint="eastAsia"/>
          <w:sz w:val="20"/>
          <w:szCs w:val="20"/>
        </w:rPr>
        <w:t>Figure 3</w:t>
      </w:r>
      <w:r>
        <w:rPr>
          <w:rFonts w:ascii="Times New Roman" w:hAnsi="Times New Roman" w:cs="Times New Roman" w:hint="eastAsia"/>
          <w:sz w:val="20"/>
          <w:szCs w:val="20"/>
        </w:rPr>
        <w:fldChar w:fldCharType="end"/>
      </w:r>
      <w:r>
        <w:rPr>
          <w:rFonts w:ascii="Times New Roman" w:hAnsi="Times New Roman" w:cs="Times New Roman" w:hint="eastAsia"/>
          <w:sz w:val="20"/>
          <w:szCs w:val="20"/>
        </w:rPr>
        <w:t xml:space="preserve"> is larger than the visible region, a UE cannot </w:t>
      </w:r>
      <w:r>
        <w:rPr>
          <w:rFonts w:ascii="Times New Roman" w:hAnsi="Times New Roman" w:cs="Times New Roman" w:hint="eastAsia"/>
          <w:sz w:val="20"/>
          <w:szCs w:val="20"/>
        </w:rPr>
        <w:lastRenderedPageBreak/>
        <w:t>simultaneously receive signals from two grids with the same associated index. Therefore, with its own position and an associated index, a UE is able to derive the absolute position based on the indicated relative position.</w:t>
      </w:r>
    </w:p>
    <w:p w:rsidR="00EA0F38" w:rsidRDefault="0096751C">
      <w:pPr>
        <w:pStyle w:val="ListParagraph1"/>
        <w:spacing w:beforeLines="50" w:before="120" w:afterLines="50" w:after="120" w:line="240" w:lineRule="auto"/>
        <w:ind w:leftChars="200" w:left="440"/>
        <w:contextualSpacing w:val="0"/>
        <w:rPr>
          <w:rFonts w:ascii="Times New Roman" w:hAnsi="Times New Roman" w:cs="Times New Roman"/>
          <w:sz w:val="20"/>
          <w:szCs w:val="20"/>
        </w:rPr>
      </w:pPr>
      <w:r>
        <w:rPr>
          <w:rFonts w:ascii="Times New Roman" w:hAnsi="Times New Roman" w:cs="Times New Roman" w:hint="eastAsia"/>
          <w:sz w:val="20"/>
          <w:szCs w:val="20"/>
        </w:rPr>
        <w:t>The center of the small grids may be indicated to the UEs in the following ways.</w:t>
      </w:r>
    </w:p>
    <w:p w:rsidR="00EA0F38" w:rsidRDefault="0096751C">
      <w:pPr>
        <w:pStyle w:val="ListParagraph1"/>
        <w:numPr>
          <w:ilvl w:val="0"/>
          <w:numId w:val="22"/>
        </w:numPr>
        <w:spacing w:beforeLines="50" w:before="120" w:afterLines="50" w:after="120" w:line="240" w:lineRule="auto"/>
        <w:ind w:leftChars="200" w:left="440"/>
        <w:contextualSpacing w:val="0"/>
        <w:rPr>
          <w:rFonts w:ascii="Times New Roman" w:hAnsi="Times New Roman" w:cs="Times New Roman"/>
          <w:sz w:val="20"/>
          <w:szCs w:val="20"/>
        </w:rPr>
      </w:pPr>
      <w:r>
        <w:rPr>
          <w:rFonts w:ascii="Times New Roman" w:hAnsi="Times New Roman" w:cs="Times New Roman" w:hint="eastAsia"/>
          <w:sz w:val="20"/>
          <w:szCs w:val="20"/>
        </w:rPr>
        <w:t xml:space="preserve">Each serving node broadcasts the absolute position of the center of its located grid, and the edge length of the grid. The UE tries to read and update the two parameters for one association index only if </w:t>
      </w:r>
      <w:proofErr w:type="gramStart"/>
      <w:r>
        <w:rPr>
          <w:rFonts w:ascii="Times New Roman" w:hAnsi="Times New Roman" w:cs="Times New Roman" w:hint="eastAsia"/>
          <w:sz w:val="20"/>
          <w:szCs w:val="20"/>
        </w:rPr>
        <w:t>its</w:t>
      </w:r>
      <w:proofErr w:type="gramEnd"/>
      <w:r>
        <w:rPr>
          <w:rFonts w:ascii="Times New Roman" w:hAnsi="Times New Roman" w:cs="Times New Roman" w:hint="eastAsia"/>
          <w:sz w:val="20"/>
          <w:szCs w:val="20"/>
        </w:rPr>
        <w:t xml:space="preserve"> GNSS positioning results are too far away from the previous received grid center.</w:t>
      </w:r>
    </w:p>
    <w:p w:rsidR="00EA0F38" w:rsidRDefault="0096751C">
      <w:pPr>
        <w:pStyle w:val="ListParagraph1"/>
        <w:numPr>
          <w:ilvl w:val="0"/>
          <w:numId w:val="22"/>
        </w:numPr>
        <w:spacing w:beforeLines="50" w:before="120" w:afterLines="50" w:after="120" w:line="240" w:lineRule="auto"/>
        <w:ind w:leftChars="200" w:left="440"/>
        <w:contextualSpacing w:val="0"/>
        <w:rPr>
          <w:rFonts w:ascii="Times New Roman" w:hAnsi="Times New Roman" w:cs="Times New Roman"/>
          <w:sz w:val="20"/>
          <w:szCs w:val="20"/>
        </w:rPr>
      </w:pPr>
      <w:r>
        <w:rPr>
          <w:rFonts w:ascii="Times New Roman" w:hAnsi="Times New Roman" w:cs="Times New Roman" w:hint="eastAsia"/>
          <w:sz w:val="20"/>
          <w:szCs w:val="20"/>
        </w:rPr>
        <w:t>The grid are pre-defined in the earth or an area. The dividing rule are supposed to be already known for the UEs. Each serving node broadcasts the key parameters to the UEs, such as grid edge length, starting point of the dividing. The UE tries to update the parameters with a relatively long periodicity.</w:t>
      </w:r>
    </w:p>
    <w:p w:rsidR="00EA0F38" w:rsidRDefault="00EA0F38">
      <w:pPr>
        <w:pStyle w:val="ListParagraph1"/>
        <w:spacing w:beforeLines="50" w:before="120" w:afterLines="50" w:after="120" w:line="240" w:lineRule="auto"/>
        <w:ind w:leftChars="200" w:left="440"/>
        <w:contextualSpacing w:val="0"/>
        <w:rPr>
          <w:rFonts w:ascii="Times New Roman" w:hAnsi="Times New Roman" w:cs="Times New Roman"/>
          <w:sz w:val="20"/>
          <w:szCs w:val="20"/>
        </w:rPr>
      </w:pPr>
    </w:p>
    <w:p w:rsidR="00EA0F38" w:rsidRDefault="0096751C">
      <w:pPr>
        <w:pStyle w:val="ListParagraph1"/>
        <w:spacing w:beforeLines="50" w:before="120" w:afterLines="50" w:after="120" w:line="240" w:lineRule="auto"/>
        <w:ind w:leftChars="200" w:left="440"/>
        <w:contextualSpacing w:val="0"/>
        <w:jc w:val="center"/>
      </w:pPr>
      <w:r>
        <w:rPr>
          <w:noProof/>
        </w:rPr>
        <w:drawing>
          <wp:inline distT="0" distB="0" distL="114300" distR="114300">
            <wp:extent cx="4405630" cy="1663700"/>
            <wp:effectExtent l="0" t="0" r="13970" b="12700"/>
            <wp:docPr id="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44"/>
                    <pic:cNvPicPr>
                      <a:picLocks noChangeAspect="1"/>
                    </pic:cNvPicPr>
                  </pic:nvPicPr>
                  <pic:blipFill>
                    <a:blip r:embed="rId84"/>
                    <a:stretch>
                      <a:fillRect/>
                    </a:stretch>
                  </pic:blipFill>
                  <pic:spPr>
                    <a:xfrm>
                      <a:off x="0" y="0"/>
                      <a:ext cx="4405630" cy="1663700"/>
                    </a:xfrm>
                    <a:prstGeom prst="rect">
                      <a:avLst/>
                    </a:prstGeom>
                    <a:noFill/>
                    <a:ln>
                      <a:noFill/>
                    </a:ln>
                  </pic:spPr>
                </pic:pic>
              </a:graphicData>
            </a:graphic>
          </wp:inline>
        </w:drawing>
      </w:r>
    </w:p>
    <w:p w:rsidR="00EA0F38" w:rsidRDefault="0096751C">
      <w:pPr>
        <w:pStyle w:val="a3"/>
        <w:spacing w:beforeLines="50" w:before="120" w:afterLines="50"/>
        <w:ind w:leftChars="200" w:left="440"/>
        <w:rPr>
          <w:lang w:val="en-US"/>
        </w:rPr>
      </w:pPr>
      <w:bookmarkStart w:id="15" w:name="_Ref510"/>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3</w:t>
      </w:r>
      <w:r>
        <w:rPr>
          <w:b w:val="0"/>
          <w:bCs w:val="0"/>
        </w:rPr>
        <w:fldChar w:fldCharType="end"/>
      </w:r>
      <w:bookmarkEnd w:id="15"/>
      <w:r>
        <w:rPr>
          <w:rFonts w:hint="eastAsia"/>
          <w:b w:val="0"/>
          <w:bCs w:val="0"/>
          <w:lang w:val="en-US"/>
        </w:rPr>
        <w:t xml:space="preserve"> Small grids with associated index</w:t>
      </w:r>
    </w:p>
    <w:p w:rsidR="00EA0F38" w:rsidRDefault="0096751C">
      <w:pPr>
        <w:ind w:leftChars="200" w:left="440"/>
        <w:rPr>
          <w:rFonts w:ascii="Times New Roman" w:hAnsi="Times New Roman"/>
          <w:sz w:val="20"/>
          <w:szCs w:val="20"/>
        </w:rPr>
      </w:pPr>
      <w:r>
        <w:rPr>
          <w:rFonts w:ascii="Times New Roman" w:hAnsi="Times New Roman" w:cs="Times New Roman" w:hint="eastAsia"/>
          <w:sz w:val="20"/>
          <w:szCs w:val="20"/>
        </w:rPr>
        <w:t xml:space="preserve">In case of HAPS, assume the altitude is 20-50km and the minimum elevation angle is 30 degree, then the maximal diameter of the visible region </w:t>
      </w:r>
      <w:proofErr w:type="gramStart"/>
      <w:r>
        <w:rPr>
          <w:rFonts w:ascii="Times New Roman" w:hAnsi="Times New Roman" w:cs="Times New Roman" w:hint="eastAsia"/>
          <w:sz w:val="20"/>
          <w:szCs w:val="20"/>
        </w:rPr>
        <w:t xml:space="preserve">is </w:t>
      </w:r>
      <w:proofErr w:type="gramEnd"/>
      <w:r>
        <w:rPr>
          <w:rFonts w:ascii="Times New Roman" w:hAnsi="Times New Roman" w:cs="Times New Roman" w:hint="eastAsia"/>
          <w:position w:val="-10"/>
          <w:sz w:val="20"/>
          <w:szCs w:val="20"/>
        </w:rPr>
        <w:object w:dxaOrig="2880" w:dyaOrig="377">
          <v:shape id="_x0000_i1082" type="#_x0000_t75" style="width:2in;height:19pt" o:ole="">
            <v:imagedata r:id="rId85" o:title=""/>
          </v:shape>
          <o:OLEObject Type="Embed" ProgID="Equation.KSEE3" ShapeID="_x0000_i1082" DrawAspect="Content" ObjectID="_1697655921" r:id="rId86"/>
        </w:object>
      </w:r>
      <w:r>
        <w:rPr>
          <w:rFonts w:ascii="Times New Roman" w:hAnsi="Times New Roman" w:cs="Times New Roman" w:hint="eastAsia"/>
          <w:sz w:val="20"/>
          <w:szCs w:val="20"/>
        </w:rPr>
        <w:t>. Therefore the required bets number to represent relative position is 2*17+15=49 bits.</w:t>
      </w:r>
    </w:p>
    <w:p w:rsidR="00EA0F38" w:rsidRDefault="0096751C">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rsidR="00EA0F38" w:rsidRDefault="0096751C">
      <w:pPr>
        <w:pStyle w:val="ListParagraph1"/>
        <w:numPr>
          <w:ilvl w:val="0"/>
          <w:numId w:val="23"/>
        </w:numPr>
        <w:spacing w:after="0" w:line="240" w:lineRule="auto"/>
        <w:ind w:left="505" w:hanging="505"/>
        <w:rPr>
          <w:rFonts w:ascii="Times New Roman" w:hAnsi="Times New Roman"/>
          <w:sz w:val="20"/>
          <w:szCs w:val="20"/>
        </w:rPr>
      </w:pPr>
      <w:bookmarkStart w:id="16" w:name="_Ref40282619"/>
      <w:r>
        <w:rPr>
          <w:rFonts w:ascii="Times New Roman" w:hAnsi="Times New Roman" w:hint="eastAsia"/>
          <w:sz w:val="20"/>
          <w:szCs w:val="20"/>
        </w:rPr>
        <w:t>R1-2110613 Session notes for 8.4 (Solutions for NR to support non-terrestrial networks (NTN)),</w:t>
      </w:r>
      <w:r>
        <w:rPr>
          <w:rFonts w:ascii="Times New Roman" w:hAnsi="Times New Roman"/>
          <w:sz w:val="20"/>
          <w:szCs w:val="20"/>
        </w:rPr>
        <w:t xml:space="preserve"> RAN</w:t>
      </w:r>
      <w:r>
        <w:rPr>
          <w:rFonts w:ascii="Times New Roman" w:hAnsi="Times New Roman" w:hint="eastAsia"/>
          <w:sz w:val="20"/>
          <w:szCs w:val="20"/>
        </w:rPr>
        <w:t>1</w:t>
      </w:r>
      <w:r>
        <w:rPr>
          <w:rFonts w:ascii="Times New Roman" w:hAnsi="Times New Roman"/>
          <w:sz w:val="20"/>
          <w:szCs w:val="20"/>
        </w:rPr>
        <w:t>#</w:t>
      </w:r>
      <w:bookmarkEnd w:id="16"/>
      <w:r>
        <w:rPr>
          <w:rFonts w:ascii="Times New Roman" w:hAnsi="Times New Roman" w:hint="eastAsia"/>
          <w:sz w:val="20"/>
          <w:szCs w:val="20"/>
        </w:rPr>
        <w:t>106b-e</w:t>
      </w:r>
    </w:p>
    <w:p w:rsidR="00EA0F38" w:rsidRDefault="0096751C">
      <w:pPr>
        <w:pStyle w:val="ListParagraph1"/>
        <w:numPr>
          <w:ilvl w:val="0"/>
          <w:numId w:val="23"/>
        </w:numPr>
        <w:spacing w:after="0" w:line="240" w:lineRule="auto"/>
        <w:ind w:left="505" w:hanging="505"/>
        <w:rPr>
          <w:rFonts w:ascii="Times New Roman" w:hAnsi="Times New Roman"/>
          <w:sz w:val="20"/>
          <w:szCs w:val="20"/>
        </w:rPr>
      </w:pPr>
      <w:bookmarkStart w:id="17" w:name="_Ref32552"/>
      <w:r>
        <w:rPr>
          <w:rFonts w:ascii="Times New Roman" w:hAnsi="Times New Roman" w:hint="eastAsia"/>
          <w:sz w:val="20"/>
          <w:szCs w:val="20"/>
        </w:rPr>
        <w:t>R1-2110602 FL Summary #6 on enhancements on UL time and frequency synchronization for NR NTN</w:t>
      </w:r>
      <w:r>
        <w:rPr>
          <w:rFonts w:ascii="Times New Roman" w:hAnsi="Times New Roman"/>
          <w:sz w:val="20"/>
          <w:szCs w:val="20"/>
        </w:rPr>
        <w:t>, RAN</w:t>
      </w:r>
      <w:r>
        <w:rPr>
          <w:rFonts w:ascii="Times New Roman" w:hAnsi="Times New Roman" w:hint="eastAsia"/>
          <w:sz w:val="20"/>
          <w:szCs w:val="20"/>
        </w:rPr>
        <w:t>1</w:t>
      </w:r>
      <w:r>
        <w:rPr>
          <w:rFonts w:ascii="Times New Roman" w:hAnsi="Times New Roman"/>
          <w:sz w:val="20"/>
          <w:szCs w:val="20"/>
        </w:rPr>
        <w:t>#</w:t>
      </w:r>
      <w:r>
        <w:rPr>
          <w:rFonts w:ascii="Times New Roman" w:hAnsi="Times New Roman" w:hint="eastAsia"/>
          <w:sz w:val="20"/>
          <w:szCs w:val="20"/>
        </w:rPr>
        <w:t>106b-e</w:t>
      </w:r>
      <w:bookmarkEnd w:id="17"/>
    </w:p>
    <w:p w:rsidR="00EA0F38" w:rsidRDefault="0096751C">
      <w:pPr>
        <w:pStyle w:val="ListParagraph1"/>
        <w:numPr>
          <w:ilvl w:val="0"/>
          <w:numId w:val="23"/>
        </w:numPr>
        <w:spacing w:after="0" w:line="240" w:lineRule="auto"/>
        <w:ind w:left="505" w:hanging="505"/>
        <w:rPr>
          <w:rFonts w:ascii="Times New Roman" w:hAnsi="Times New Roman"/>
          <w:sz w:val="20"/>
          <w:szCs w:val="20"/>
        </w:rPr>
      </w:pPr>
      <w:bookmarkStart w:id="18" w:name="_Ref71537093"/>
      <w:r>
        <w:rPr>
          <w:rFonts w:ascii="Times New Roman" w:hAnsi="Times New Roman"/>
          <w:sz w:val="20"/>
          <w:szCs w:val="20"/>
        </w:rPr>
        <w:t>R4-21</w:t>
      </w:r>
      <w:r>
        <w:rPr>
          <w:rFonts w:ascii="Times New Roman" w:hAnsi="Times New Roman" w:hint="eastAsia"/>
          <w:sz w:val="20"/>
          <w:szCs w:val="20"/>
        </w:rPr>
        <w:t>10604</w:t>
      </w:r>
      <w:r>
        <w:rPr>
          <w:rFonts w:ascii="Times New Roman" w:hAnsi="Times New Roman"/>
          <w:sz w:val="20"/>
          <w:szCs w:val="20"/>
        </w:rPr>
        <w:t xml:space="preserve"> </w:t>
      </w:r>
      <w:bookmarkEnd w:id="18"/>
      <w:r>
        <w:rPr>
          <w:rFonts w:ascii="Times New Roman" w:hAnsi="Times New Roman" w:hint="eastAsia"/>
          <w:sz w:val="20"/>
          <w:szCs w:val="20"/>
        </w:rPr>
        <w:t>LS on Combination of open and closed loop TA control in NTN</w:t>
      </w:r>
      <w:r>
        <w:rPr>
          <w:rFonts w:ascii="Times New Roman" w:hAnsi="Times New Roman"/>
          <w:sz w:val="20"/>
          <w:szCs w:val="20"/>
        </w:rPr>
        <w:t>, RAN</w:t>
      </w:r>
      <w:r>
        <w:rPr>
          <w:rFonts w:ascii="Times New Roman" w:hAnsi="Times New Roman" w:hint="eastAsia"/>
          <w:sz w:val="20"/>
          <w:szCs w:val="20"/>
        </w:rPr>
        <w:t>1</w:t>
      </w:r>
      <w:r>
        <w:rPr>
          <w:rFonts w:ascii="Times New Roman" w:hAnsi="Times New Roman"/>
          <w:sz w:val="20"/>
          <w:szCs w:val="20"/>
        </w:rPr>
        <w:t>#</w:t>
      </w:r>
      <w:r>
        <w:rPr>
          <w:rFonts w:ascii="Times New Roman" w:hAnsi="Times New Roman" w:hint="eastAsia"/>
          <w:sz w:val="20"/>
          <w:szCs w:val="20"/>
        </w:rPr>
        <w:t>106b-e</w:t>
      </w:r>
    </w:p>
    <w:p w:rsidR="00EA0F38" w:rsidRDefault="0096751C">
      <w:pPr>
        <w:pStyle w:val="ListParagraph1"/>
        <w:numPr>
          <w:ilvl w:val="0"/>
          <w:numId w:val="23"/>
        </w:numPr>
        <w:spacing w:after="0" w:line="240" w:lineRule="auto"/>
        <w:ind w:left="505" w:hanging="505"/>
        <w:rPr>
          <w:rFonts w:ascii="Times New Roman" w:hAnsi="Times New Roman"/>
          <w:sz w:val="20"/>
          <w:szCs w:val="20"/>
        </w:rPr>
      </w:pPr>
      <w:bookmarkStart w:id="19" w:name="_Ref24082"/>
      <w:r>
        <w:rPr>
          <w:rFonts w:ascii="Times New Roman" w:hAnsi="Times New Roman" w:hint="eastAsia"/>
          <w:sz w:val="20"/>
          <w:szCs w:val="20"/>
        </w:rPr>
        <w:t>3GPP TR 38.821</w:t>
      </w:r>
      <w:r>
        <w:rPr>
          <w:rFonts w:ascii="Times New Roman" w:hAnsi="Times New Roman"/>
          <w:sz w:val="20"/>
          <w:szCs w:val="20"/>
        </w:rPr>
        <w:t xml:space="preserve"> </w:t>
      </w:r>
      <w:r>
        <w:rPr>
          <w:rFonts w:ascii="Times New Roman" w:hAnsi="Times New Roman" w:hint="eastAsia"/>
          <w:sz w:val="20"/>
          <w:szCs w:val="20"/>
        </w:rPr>
        <w:t>Solutions for NR to support non-terrestrial networks (NTN)</w:t>
      </w:r>
      <w:bookmarkEnd w:id="19"/>
    </w:p>
    <w:p w:rsidR="00EA0F38" w:rsidRDefault="0096751C">
      <w:pPr>
        <w:pStyle w:val="ListParagraph1"/>
        <w:numPr>
          <w:ilvl w:val="0"/>
          <w:numId w:val="23"/>
        </w:numPr>
        <w:spacing w:after="0" w:line="240" w:lineRule="auto"/>
        <w:ind w:left="505" w:hanging="505"/>
        <w:rPr>
          <w:rFonts w:ascii="Times New Roman" w:hAnsi="Times New Roman"/>
          <w:sz w:val="20"/>
          <w:szCs w:val="20"/>
        </w:rPr>
      </w:pPr>
      <w:bookmarkStart w:id="20" w:name="_Ref30610"/>
      <w:r>
        <w:rPr>
          <w:rFonts w:ascii="Times New Roman" w:hAnsi="Times New Roman" w:hint="eastAsia"/>
          <w:sz w:val="20"/>
          <w:szCs w:val="20"/>
        </w:rPr>
        <w:t>R1-2107776 Discussion on UL synchronization for NR-NTN, ZTE, RAN1#106e</w:t>
      </w:r>
      <w:bookmarkEnd w:id="20"/>
    </w:p>
    <w:p w:rsidR="00EA0F38" w:rsidRDefault="00EA0F38">
      <w:pPr>
        <w:pStyle w:val="ListParagraph1"/>
        <w:numPr>
          <w:ilvl w:val="255"/>
          <w:numId w:val="0"/>
        </w:numPr>
        <w:spacing w:after="0" w:line="20" w:lineRule="exact"/>
        <w:ind w:left="720"/>
        <w:rPr>
          <w:rFonts w:ascii="Times New Roman" w:hAnsi="Times New Roman"/>
          <w:sz w:val="20"/>
          <w:szCs w:val="20"/>
        </w:rPr>
      </w:pPr>
    </w:p>
    <w:sectPr w:rsidR="00EA0F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4379B20"/>
    <w:multiLevelType w:val="singleLevel"/>
    <w:tmpl w:val="84379B20"/>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9E861FA1"/>
    <w:multiLevelType w:val="singleLevel"/>
    <w:tmpl w:val="9E861FA1"/>
    <w:lvl w:ilvl="0">
      <w:start w:val="1"/>
      <w:numFmt w:val="bullet"/>
      <w:lvlText w:val="●"/>
      <w:lvlJc w:val="left"/>
      <w:pPr>
        <w:ind w:left="860" w:hanging="420"/>
      </w:pPr>
      <w:rPr>
        <w:rFonts w:ascii="Arial" w:hAnsi="Arial" w:cs="Arial" w:hint="default"/>
      </w:rPr>
    </w:lvl>
  </w:abstractNum>
  <w:abstractNum w:abstractNumId="2" w15:restartNumberingAfterBreak="0">
    <w:nsid w:val="BA582FD7"/>
    <w:multiLevelType w:val="singleLevel"/>
    <w:tmpl w:val="BA582FD7"/>
    <w:lvl w:ilvl="0">
      <w:start w:val="1"/>
      <w:numFmt w:val="bullet"/>
      <w:lvlText w:val="¡"/>
      <w:lvlJc w:val="left"/>
      <w:pPr>
        <w:tabs>
          <w:tab w:val="left" w:pos="1260"/>
        </w:tabs>
        <w:ind w:left="1680" w:hanging="420"/>
      </w:pPr>
      <w:rPr>
        <w:rFonts w:ascii="Wingdings" w:hAnsi="Wingdings" w:cs="Wingdings" w:hint="default"/>
        <w:sz w:val="10"/>
      </w:rPr>
    </w:lvl>
  </w:abstractNum>
  <w:abstractNum w:abstractNumId="3" w15:restartNumberingAfterBreak="0">
    <w:nsid w:val="C0F77E7B"/>
    <w:multiLevelType w:val="multilevel"/>
    <w:tmpl w:val="C0F77E7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4" w15:restartNumberingAfterBreak="0">
    <w:nsid w:val="D0110553"/>
    <w:multiLevelType w:val="singleLevel"/>
    <w:tmpl w:val="D0110553"/>
    <w:lvl w:ilvl="0">
      <w:start w:val="1"/>
      <w:numFmt w:val="bullet"/>
      <w:lvlText w:val=""/>
      <w:lvlJc w:val="left"/>
      <w:pPr>
        <w:tabs>
          <w:tab w:val="left" w:pos="840"/>
        </w:tabs>
        <w:ind w:left="1260" w:hanging="420"/>
      </w:pPr>
      <w:rPr>
        <w:rFonts w:ascii="Wingdings" w:hAnsi="Wingdings" w:hint="default"/>
      </w:rPr>
    </w:lvl>
  </w:abstractNum>
  <w:abstractNum w:abstractNumId="5" w15:restartNumberingAfterBreak="0">
    <w:nsid w:val="F1B1EACD"/>
    <w:multiLevelType w:val="singleLevel"/>
    <w:tmpl w:val="F1B1EACD"/>
    <w:lvl w:ilvl="0">
      <w:start w:val="1"/>
      <w:numFmt w:val="bullet"/>
      <w:lvlText w:val=""/>
      <w:lvlJc w:val="left"/>
      <w:pPr>
        <w:tabs>
          <w:tab w:val="left" w:pos="840"/>
        </w:tabs>
        <w:ind w:left="1260" w:hanging="420"/>
      </w:pPr>
      <w:rPr>
        <w:rFonts w:ascii="Wingdings" w:hAnsi="Wingdings" w:hint="default"/>
      </w:rPr>
    </w:lvl>
  </w:abstractNum>
  <w:abstractNum w:abstractNumId="6" w15:restartNumberingAfterBreak="0">
    <w:nsid w:val="F293ADB6"/>
    <w:multiLevelType w:val="multilevel"/>
    <w:tmpl w:val="F293ADB6"/>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MS Mincho" w:hAnsi="MS Mincho" w:hint="default"/>
      </w:rPr>
    </w:lvl>
    <w:lvl w:ilvl="2">
      <w:start w:val="1"/>
      <w:numFmt w:val="bullet"/>
      <w:lvlText w:val=""/>
      <w:lvlJc w:val="left"/>
      <w:pPr>
        <w:tabs>
          <w:tab w:val="left" w:pos="1260"/>
        </w:tabs>
        <w:ind w:left="1680" w:hanging="420"/>
      </w:pPr>
      <w:rPr>
        <w:rFonts w:ascii="MS Mincho" w:hAnsi="MS Mincho" w:hint="default"/>
      </w:rPr>
    </w:lvl>
    <w:lvl w:ilvl="3">
      <w:start w:val="1"/>
      <w:numFmt w:val="bullet"/>
      <w:lvlText w:val=""/>
      <w:lvlJc w:val="left"/>
      <w:pPr>
        <w:tabs>
          <w:tab w:val="left" w:pos="1680"/>
        </w:tabs>
        <w:ind w:left="2100" w:hanging="420"/>
      </w:pPr>
      <w:rPr>
        <w:rFonts w:ascii="MS Mincho" w:hAnsi="MS Mincho" w:hint="default"/>
      </w:rPr>
    </w:lvl>
    <w:lvl w:ilvl="4">
      <w:start w:val="1"/>
      <w:numFmt w:val="bullet"/>
      <w:lvlText w:val=""/>
      <w:lvlJc w:val="left"/>
      <w:pPr>
        <w:tabs>
          <w:tab w:val="left" w:pos="2100"/>
        </w:tabs>
        <w:ind w:left="2520" w:hanging="420"/>
      </w:pPr>
      <w:rPr>
        <w:rFonts w:ascii="MS Mincho" w:hAnsi="MS Mincho" w:hint="default"/>
      </w:rPr>
    </w:lvl>
    <w:lvl w:ilvl="5">
      <w:start w:val="1"/>
      <w:numFmt w:val="bullet"/>
      <w:lvlText w:val=""/>
      <w:lvlJc w:val="left"/>
      <w:pPr>
        <w:tabs>
          <w:tab w:val="left" w:pos="2520"/>
        </w:tabs>
        <w:ind w:left="2940" w:hanging="420"/>
      </w:pPr>
      <w:rPr>
        <w:rFonts w:ascii="MS Mincho" w:hAnsi="MS Mincho" w:hint="default"/>
      </w:rPr>
    </w:lvl>
    <w:lvl w:ilvl="6">
      <w:start w:val="1"/>
      <w:numFmt w:val="bullet"/>
      <w:lvlText w:val=""/>
      <w:lvlJc w:val="left"/>
      <w:pPr>
        <w:tabs>
          <w:tab w:val="left" w:pos="2940"/>
        </w:tabs>
        <w:ind w:left="3360" w:hanging="420"/>
      </w:pPr>
      <w:rPr>
        <w:rFonts w:ascii="MS Mincho" w:hAnsi="MS Mincho" w:hint="default"/>
      </w:rPr>
    </w:lvl>
    <w:lvl w:ilvl="7">
      <w:start w:val="1"/>
      <w:numFmt w:val="bullet"/>
      <w:lvlText w:val=""/>
      <w:lvlJc w:val="left"/>
      <w:pPr>
        <w:tabs>
          <w:tab w:val="left" w:pos="3360"/>
        </w:tabs>
        <w:ind w:left="3780" w:hanging="420"/>
      </w:pPr>
      <w:rPr>
        <w:rFonts w:ascii="MS Mincho" w:hAnsi="MS Mincho" w:hint="default"/>
      </w:rPr>
    </w:lvl>
    <w:lvl w:ilvl="8">
      <w:start w:val="1"/>
      <w:numFmt w:val="bullet"/>
      <w:lvlText w:val=""/>
      <w:lvlJc w:val="left"/>
      <w:pPr>
        <w:tabs>
          <w:tab w:val="left" w:pos="3780"/>
        </w:tabs>
        <w:ind w:left="4200" w:hanging="420"/>
      </w:pPr>
      <w:rPr>
        <w:rFonts w:ascii="MS Mincho" w:hAnsi="MS Mincho" w:hint="default"/>
      </w:rPr>
    </w:lvl>
  </w:abstractNum>
  <w:abstractNum w:abstractNumId="7" w15:restartNumberingAfterBreak="0">
    <w:nsid w:val="02552047"/>
    <w:multiLevelType w:val="multilevel"/>
    <w:tmpl w:val="670CD79A"/>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0EDF538F"/>
    <w:multiLevelType w:val="singleLevel"/>
    <w:tmpl w:val="0EDF538F"/>
    <w:lvl w:ilvl="0">
      <w:start w:val="1"/>
      <w:numFmt w:val="bullet"/>
      <w:lvlText w:val="●"/>
      <w:lvlJc w:val="left"/>
      <w:pPr>
        <w:ind w:left="860" w:hanging="420"/>
      </w:pPr>
      <w:rPr>
        <w:rFonts w:ascii="Arial" w:hAnsi="Arial" w:cs="Arial" w:hint="default"/>
      </w:rPr>
    </w:lvl>
  </w:abstractNum>
  <w:abstractNum w:abstractNumId="9" w15:restartNumberingAfterBreak="0">
    <w:nsid w:val="27762140"/>
    <w:multiLevelType w:val="multilevel"/>
    <w:tmpl w:val="277621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A75923"/>
    <w:multiLevelType w:val="singleLevel"/>
    <w:tmpl w:val="35A75923"/>
    <w:lvl w:ilvl="0">
      <w:start w:val="1"/>
      <w:numFmt w:val="decimal"/>
      <w:suff w:val="space"/>
      <w:lvlText w:val="%1."/>
      <w:lvlJc w:val="left"/>
    </w:lvl>
  </w:abstractNum>
  <w:abstractNum w:abstractNumId="11"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7A83F02"/>
    <w:multiLevelType w:val="multilevel"/>
    <w:tmpl w:val="47A83F02"/>
    <w:lvl w:ilvl="0">
      <w:start w:val="1"/>
      <w:numFmt w:val="bullet"/>
      <w:lvlText w:val=""/>
      <w:lvlJc w:val="left"/>
      <w:pPr>
        <w:ind w:left="841" w:hanging="420"/>
      </w:pPr>
      <w:rPr>
        <w:rFonts w:ascii="Wingdings" w:hAnsi="Wingdings" w:hint="default"/>
      </w:rPr>
    </w:lvl>
    <w:lvl w:ilvl="1">
      <w:start w:val="1"/>
      <w:numFmt w:val="bullet"/>
      <w:lvlText w:val=""/>
      <w:lvlJc w:val="left"/>
      <w:pPr>
        <w:ind w:left="1261"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14"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E20109B"/>
    <w:multiLevelType w:val="singleLevel"/>
    <w:tmpl w:val="5E20109B"/>
    <w:lvl w:ilvl="0">
      <w:start w:val="1"/>
      <w:numFmt w:val="bullet"/>
      <w:lvlText w:val=""/>
      <w:lvlJc w:val="left"/>
      <w:pPr>
        <w:tabs>
          <w:tab w:val="left" w:pos="420"/>
        </w:tabs>
        <w:ind w:left="840" w:hanging="420"/>
      </w:pPr>
      <w:rPr>
        <w:rFonts w:ascii="Wingdings" w:hAnsi="Wingdings" w:hint="default"/>
      </w:rPr>
    </w:lvl>
  </w:abstractNum>
  <w:abstractNum w:abstractNumId="18" w15:restartNumberingAfterBreak="0">
    <w:nsid w:val="6CA95A13"/>
    <w:multiLevelType w:val="multilevel"/>
    <w:tmpl w:val="6CA95A13"/>
    <w:lvl w:ilvl="0">
      <w:numFmt w:val="bullet"/>
      <w:lvlText w:val="-"/>
      <w:lvlJc w:val="left"/>
      <w:pPr>
        <w:ind w:left="773" w:hanging="360"/>
      </w:pPr>
      <w:rPr>
        <w:rFonts w:ascii="Times New Roman" w:eastAsia="PMingLiU" w:hAnsi="Times New Roman" w:cs="Times New Roman" w:hint="default"/>
      </w:rPr>
    </w:lvl>
    <w:lvl w:ilvl="1">
      <w:start w:val="1"/>
      <w:numFmt w:val="bullet"/>
      <w:lvlText w:val=""/>
      <w:lvlJc w:val="left"/>
      <w:pPr>
        <w:ind w:left="1493" w:hanging="360"/>
      </w:pPr>
      <w:rPr>
        <w:rFonts w:ascii="Wingdings" w:hAnsi="Wingdings"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num w:numId="1">
    <w:abstractNumId w:val="7"/>
  </w:num>
  <w:num w:numId="2">
    <w:abstractNumId w:val="15"/>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6"/>
  </w:num>
  <w:num w:numId="6">
    <w:abstractNumId w:val="9"/>
  </w:num>
  <w:num w:numId="7">
    <w:abstractNumId w:val="1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5"/>
  </w:num>
  <w:num w:numId="11">
    <w:abstractNumId w:val="2"/>
  </w:num>
  <w:num w:numId="12">
    <w:abstractNumId w:val="8"/>
  </w:num>
  <w:num w:numId="13">
    <w:abstractNumId w:val="16"/>
  </w:num>
  <w:num w:numId="14">
    <w:abstractNumId w:val="4"/>
  </w:num>
  <w:num w:numId="15">
    <w:abstractNumId w:val="0"/>
  </w:num>
  <w:num w:numId="16">
    <w:abstractNumId w:val="13"/>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7"/>
  </w:num>
  <w:num w:numId="20">
    <w:abstractNumId w:val="1"/>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92D"/>
    <w:rsid w:val="0000112A"/>
    <w:rsid w:val="00002327"/>
    <w:rsid w:val="00002418"/>
    <w:rsid w:val="000046F5"/>
    <w:rsid w:val="00004E88"/>
    <w:rsid w:val="00005B14"/>
    <w:rsid w:val="0000773C"/>
    <w:rsid w:val="00010179"/>
    <w:rsid w:val="00015039"/>
    <w:rsid w:val="00015132"/>
    <w:rsid w:val="000163CA"/>
    <w:rsid w:val="000207B3"/>
    <w:rsid w:val="00021434"/>
    <w:rsid w:val="00021AAE"/>
    <w:rsid w:val="00022E51"/>
    <w:rsid w:val="00022EDE"/>
    <w:rsid w:val="0002404A"/>
    <w:rsid w:val="00024905"/>
    <w:rsid w:val="000255C7"/>
    <w:rsid w:val="00026E46"/>
    <w:rsid w:val="000305EC"/>
    <w:rsid w:val="00031996"/>
    <w:rsid w:val="00031F57"/>
    <w:rsid w:val="0003439E"/>
    <w:rsid w:val="00036AFC"/>
    <w:rsid w:val="00037989"/>
    <w:rsid w:val="00040044"/>
    <w:rsid w:val="0004019D"/>
    <w:rsid w:val="00042798"/>
    <w:rsid w:val="00043AF2"/>
    <w:rsid w:val="00044F8D"/>
    <w:rsid w:val="00046E70"/>
    <w:rsid w:val="00046EC1"/>
    <w:rsid w:val="00047081"/>
    <w:rsid w:val="00052A59"/>
    <w:rsid w:val="00052ACC"/>
    <w:rsid w:val="00053670"/>
    <w:rsid w:val="00054718"/>
    <w:rsid w:val="00054B9E"/>
    <w:rsid w:val="0005556D"/>
    <w:rsid w:val="00055DCC"/>
    <w:rsid w:val="0005679C"/>
    <w:rsid w:val="0005706E"/>
    <w:rsid w:val="000600A4"/>
    <w:rsid w:val="000630EA"/>
    <w:rsid w:val="00063D6A"/>
    <w:rsid w:val="0006445C"/>
    <w:rsid w:val="00064C14"/>
    <w:rsid w:val="00065FC8"/>
    <w:rsid w:val="00066C43"/>
    <w:rsid w:val="00066E94"/>
    <w:rsid w:val="00067072"/>
    <w:rsid w:val="000707AD"/>
    <w:rsid w:val="000726E4"/>
    <w:rsid w:val="00074CEC"/>
    <w:rsid w:val="00075D81"/>
    <w:rsid w:val="000771C3"/>
    <w:rsid w:val="00082E56"/>
    <w:rsid w:val="00083768"/>
    <w:rsid w:val="00085425"/>
    <w:rsid w:val="0008799A"/>
    <w:rsid w:val="0009076A"/>
    <w:rsid w:val="00091DB0"/>
    <w:rsid w:val="000929D3"/>
    <w:rsid w:val="0009612B"/>
    <w:rsid w:val="00096412"/>
    <w:rsid w:val="00096975"/>
    <w:rsid w:val="00097080"/>
    <w:rsid w:val="00097C29"/>
    <w:rsid w:val="000A0C3E"/>
    <w:rsid w:val="000A0C91"/>
    <w:rsid w:val="000A2896"/>
    <w:rsid w:val="000A57E6"/>
    <w:rsid w:val="000A5D0C"/>
    <w:rsid w:val="000A645B"/>
    <w:rsid w:val="000A6607"/>
    <w:rsid w:val="000A6F26"/>
    <w:rsid w:val="000B345B"/>
    <w:rsid w:val="000B512D"/>
    <w:rsid w:val="000B6824"/>
    <w:rsid w:val="000C0612"/>
    <w:rsid w:val="000C1944"/>
    <w:rsid w:val="000C216B"/>
    <w:rsid w:val="000C32FA"/>
    <w:rsid w:val="000C3A22"/>
    <w:rsid w:val="000C46C1"/>
    <w:rsid w:val="000C4C4D"/>
    <w:rsid w:val="000C5487"/>
    <w:rsid w:val="000C5534"/>
    <w:rsid w:val="000C600C"/>
    <w:rsid w:val="000C6104"/>
    <w:rsid w:val="000C6CD2"/>
    <w:rsid w:val="000D24E2"/>
    <w:rsid w:val="000D2FFB"/>
    <w:rsid w:val="000D35D7"/>
    <w:rsid w:val="000D43F4"/>
    <w:rsid w:val="000D5861"/>
    <w:rsid w:val="000D58F1"/>
    <w:rsid w:val="000D598F"/>
    <w:rsid w:val="000E3BD9"/>
    <w:rsid w:val="000E3EEA"/>
    <w:rsid w:val="000E4DDB"/>
    <w:rsid w:val="000E4EF8"/>
    <w:rsid w:val="000E50B9"/>
    <w:rsid w:val="000E5209"/>
    <w:rsid w:val="000E6592"/>
    <w:rsid w:val="000E65C2"/>
    <w:rsid w:val="000E7075"/>
    <w:rsid w:val="000F1576"/>
    <w:rsid w:val="000F22A0"/>
    <w:rsid w:val="000F2DCC"/>
    <w:rsid w:val="000F4FB7"/>
    <w:rsid w:val="000F504F"/>
    <w:rsid w:val="000F58D7"/>
    <w:rsid w:val="000F7322"/>
    <w:rsid w:val="000F785C"/>
    <w:rsid w:val="000F7F6B"/>
    <w:rsid w:val="00102955"/>
    <w:rsid w:val="001030E2"/>
    <w:rsid w:val="00103A1D"/>
    <w:rsid w:val="00103ADE"/>
    <w:rsid w:val="001040A3"/>
    <w:rsid w:val="001042A2"/>
    <w:rsid w:val="001053A6"/>
    <w:rsid w:val="00111BF3"/>
    <w:rsid w:val="001140B1"/>
    <w:rsid w:val="0011457F"/>
    <w:rsid w:val="001164E7"/>
    <w:rsid w:val="001175A0"/>
    <w:rsid w:val="0011771D"/>
    <w:rsid w:val="00117825"/>
    <w:rsid w:val="00120E8A"/>
    <w:rsid w:val="0012343B"/>
    <w:rsid w:val="00123A6A"/>
    <w:rsid w:val="001277FA"/>
    <w:rsid w:val="00127950"/>
    <w:rsid w:val="00130DB6"/>
    <w:rsid w:val="0013220A"/>
    <w:rsid w:val="001334A7"/>
    <w:rsid w:val="00136467"/>
    <w:rsid w:val="001366F7"/>
    <w:rsid w:val="00136871"/>
    <w:rsid w:val="001369F6"/>
    <w:rsid w:val="001401D1"/>
    <w:rsid w:val="00140AE4"/>
    <w:rsid w:val="0014136C"/>
    <w:rsid w:val="0014315C"/>
    <w:rsid w:val="001447C9"/>
    <w:rsid w:val="001455B4"/>
    <w:rsid w:val="00145B2C"/>
    <w:rsid w:val="00145BE8"/>
    <w:rsid w:val="001478C9"/>
    <w:rsid w:val="00150658"/>
    <w:rsid w:val="00152B82"/>
    <w:rsid w:val="00152E17"/>
    <w:rsid w:val="00153DFD"/>
    <w:rsid w:val="00157411"/>
    <w:rsid w:val="001637D9"/>
    <w:rsid w:val="00163958"/>
    <w:rsid w:val="00163C43"/>
    <w:rsid w:val="00163E3A"/>
    <w:rsid w:val="001645E4"/>
    <w:rsid w:val="00164C6C"/>
    <w:rsid w:val="00165036"/>
    <w:rsid w:val="00166848"/>
    <w:rsid w:val="00166EF0"/>
    <w:rsid w:val="0016725B"/>
    <w:rsid w:val="00167C34"/>
    <w:rsid w:val="00170CD6"/>
    <w:rsid w:val="0017178D"/>
    <w:rsid w:val="00172A27"/>
    <w:rsid w:val="00173343"/>
    <w:rsid w:val="00173624"/>
    <w:rsid w:val="00174EE5"/>
    <w:rsid w:val="00176371"/>
    <w:rsid w:val="00176496"/>
    <w:rsid w:val="001767AB"/>
    <w:rsid w:val="00176CE4"/>
    <w:rsid w:val="00177052"/>
    <w:rsid w:val="0018253F"/>
    <w:rsid w:val="00183086"/>
    <w:rsid w:val="0018415A"/>
    <w:rsid w:val="00185634"/>
    <w:rsid w:val="00185B2D"/>
    <w:rsid w:val="0019297F"/>
    <w:rsid w:val="001945CB"/>
    <w:rsid w:val="00194A42"/>
    <w:rsid w:val="001950A5"/>
    <w:rsid w:val="001964C6"/>
    <w:rsid w:val="001A040E"/>
    <w:rsid w:val="001A27EA"/>
    <w:rsid w:val="001A585E"/>
    <w:rsid w:val="001A63FC"/>
    <w:rsid w:val="001A671C"/>
    <w:rsid w:val="001A74B5"/>
    <w:rsid w:val="001B0350"/>
    <w:rsid w:val="001B10C2"/>
    <w:rsid w:val="001B1525"/>
    <w:rsid w:val="001B4A58"/>
    <w:rsid w:val="001B61CA"/>
    <w:rsid w:val="001C3113"/>
    <w:rsid w:val="001C34AE"/>
    <w:rsid w:val="001C4B12"/>
    <w:rsid w:val="001C53EA"/>
    <w:rsid w:val="001D0BE9"/>
    <w:rsid w:val="001D308C"/>
    <w:rsid w:val="001D3FCD"/>
    <w:rsid w:val="001D4C5A"/>
    <w:rsid w:val="001D59E7"/>
    <w:rsid w:val="001D63E6"/>
    <w:rsid w:val="001D7DDA"/>
    <w:rsid w:val="001E130B"/>
    <w:rsid w:val="001E2099"/>
    <w:rsid w:val="001E27E0"/>
    <w:rsid w:val="001E3616"/>
    <w:rsid w:val="001E3C31"/>
    <w:rsid w:val="001E5D55"/>
    <w:rsid w:val="001F080B"/>
    <w:rsid w:val="001F42FD"/>
    <w:rsid w:val="001F435A"/>
    <w:rsid w:val="001F532D"/>
    <w:rsid w:val="001F6735"/>
    <w:rsid w:val="001F73F8"/>
    <w:rsid w:val="001F7E2A"/>
    <w:rsid w:val="0020127D"/>
    <w:rsid w:val="00202971"/>
    <w:rsid w:val="00205322"/>
    <w:rsid w:val="00206259"/>
    <w:rsid w:val="00211192"/>
    <w:rsid w:val="002150C0"/>
    <w:rsid w:val="00215B4B"/>
    <w:rsid w:val="00215C0C"/>
    <w:rsid w:val="00217CD0"/>
    <w:rsid w:val="00220720"/>
    <w:rsid w:val="00220F13"/>
    <w:rsid w:val="00222B41"/>
    <w:rsid w:val="002239D1"/>
    <w:rsid w:val="002239E2"/>
    <w:rsid w:val="002260BF"/>
    <w:rsid w:val="002277AA"/>
    <w:rsid w:val="00227B9F"/>
    <w:rsid w:val="002300DA"/>
    <w:rsid w:val="00230E2F"/>
    <w:rsid w:val="002337F7"/>
    <w:rsid w:val="00234FE9"/>
    <w:rsid w:val="00237C5F"/>
    <w:rsid w:val="0024089A"/>
    <w:rsid w:val="00241E81"/>
    <w:rsid w:val="00242177"/>
    <w:rsid w:val="0024697D"/>
    <w:rsid w:val="0024761D"/>
    <w:rsid w:val="002509D8"/>
    <w:rsid w:val="00252A27"/>
    <w:rsid w:val="00253B31"/>
    <w:rsid w:val="00255D8E"/>
    <w:rsid w:val="00255E7F"/>
    <w:rsid w:val="00261495"/>
    <w:rsid w:val="002617C9"/>
    <w:rsid w:val="002628A3"/>
    <w:rsid w:val="00263CF8"/>
    <w:rsid w:val="00266010"/>
    <w:rsid w:val="002662CE"/>
    <w:rsid w:val="002667CD"/>
    <w:rsid w:val="00271029"/>
    <w:rsid w:val="00272F96"/>
    <w:rsid w:val="002733D4"/>
    <w:rsid w:val="0027491E"/>
    <w:rsid w:val="002749B2"/>
    <w:rsid w:val="002804CA"/>
    <w:rsid w:val="00282B5B"/>
    <w:rsid w:val="002863A3"/>
    <w:rsid w:val="00286A1A"/>
    <w:rsid w:val="002901AB"/>
    <w:rsid w:val="00290412"/>
    <w:rsid w:val="00291D82"/>
    <w:rsid w:val="002924F9"/>
    <w:rsid w:val="0029575D"/>
    <w:rsid w:val="00295CB2"/>
    <w:rsid w:val="002A03BF"/>
    <w:rsid w:val="002A1B43"/>
    <w:rsid w:val="002A3174"/>
    <w:rsid w:val="002A40A7"/>
    <w:rsid w:val="002A431F"/>
    <w:rsid w:val="002A5D5E"/>
    <w:rsid w:val="002A5DBB"/>
    <w:rsid w:val="002A7E58"/>
    <w:rsid w:val="002B15AC"/>
    <w:rsid w:val="002B1AEC"/>
    <w:rsid w:val="002B3F53"/>
    <w:rsid w:val="002B4341"/>
    <w:rsid w:val="002B4354"/>
    <w:rsid w:val="002B5408"/>
    <w:rsid w:val="002B6229"/>
    <w:rsid w:val="002C36C2"/>
    <w:rsid w:val="002C37D5"/>
    <w:rsid w:val="002C3C85"/>
    <w:rsid w:val="002C4016"/>
    <w:rsid w:val="002C5BB8"/>
    <w:rsid w:val="002C5C2D"/>
    <w:rsid w:val="002C636A"/>
    <w:rsid w:val="002C7437"/>
    <w:rsid w:val="002D109F"/>
    <w:rsid w:val="002D1FE0"/>
    <w:rsid w:val="002D35C9"/>
    <w:rsid w:val="002D3617"/>
    <w:rsid w:val="002D3E6A"/>
    <w:rsid w:val="002D4D12"/>
    <w:rsid w:val="002D4F8A"/>
    <w:rsid w:val="002D6C7D"/>
    <w:rsid w:val="002D74A4"/>
    <w:rsid w:val="002E0B56"/>
    <w:rsid w:val="002E2D9B"/>
    <w:rsid w:val="002E3656"/>
    <w:rsid w:val="002E5475"/>
    <w:rsid w:val="002E5A0C"/>
    <w:rsid w:val="002E5F90"/>
    <w:rsid w:val="002E637E"/>
    <w:rsid w:val="002E6858"/>
    <w:rsid w:val="002E7D93"/>
    <w:rsid w:val="002E7F8A"/>
    <w:rsid w:val="002E7F97"/>
    <w:rsid w:val="002F0209"/>
    <w:rsid w:val="002F16C4"/>
    <w:rsid w:val="002F2A52"/>
    <w:rsid w:val="002F37E8"/>
    <w:rsid w:val="002F65FD"/>
    <w:rsid w:val="002F67A2"/>
    <w:rsid w:val="002F67ED"/>
    <w:rsid w:val="002F7433"/>
    <w:rsid w:val="00300887"/>
    <w:rsid w:val="00300BD1"/>
    <w:rsid w:val="00301393"/>
    <w:rsid w:val="00301BE4"/>
    <w:rsid w:val="00301C35"/>
    <w:rsid w:val="003020ED"/>
    <w:rsid w:val="0030330F"/>
    <w:rsid w:val="00303834"/>
    <w:rsid w:val="00303EF0"/>
    <w:rsid w:val="00304BDE"/>
    <w:rsid w:val="00304F65"/>
    <w:rsid w:val="00305602"/>
    <w:rsid w:val="00305DE0"/>
    <w:rsid w:val="0030727E"/>
    <w:rsid w:val="00313773"/>
    <w:rsid w:val="00313AD9"/>
    <w:rsid w:val="00313D16"/>
    <w:rsid w:val="00314809"/>
    <w:rsid w:val="00315066"/>
    <w:rsid w:val="00315C20"/>
    <w:rsid w:val="00317C7F"/>
    <w:rsid w:val="00320CAE"/>
    <w:rsid w:val="00322CF7"/>
    <w:rsid w:val="00323A2F"/>
    <w:rsid w:val="003240FB"/>
    <w:rsid w:val="00331622"/>
    <w:rsid w:val="003317E3"/>
    <w:rsid w:val="00331D28"/>
    <w:rsid w:val="00331FBA"/>
    <w:rsid w:val="0033281C"/>
    <w:rsid w:val="00332D42"/>
    <w:rsid w:val="00333D5B"/>
    <w:rsid w:val="00333EFE"/>
    <w:rsid w:val="003342A3"/>
    <w:rsid w:val="00334734"/>
    <w:rsid w:val="00334DC2"/>
    <w:rsid w:val="0033576B"/>
    <w:rsid w:val="003405B7"/>
    <w:rsid w:val="003409CF"/>
    <w:rsid w:val="00340F85"/>
    <w:rsid w:val="00343B5D"/>
    <w:rsid w:val="0034553B"/>
    <w:rsid w:val="00345FE9"/>
    <w:rsid w:val="003472B4"/>
    <w:rsid w:val="003503C4"/>
    <w:rsid w:val="00350FBC"/>
    <w:rsid w:val="00351908"/>
    <w:rsid w:val="0035204B"/>
    <w:rsid w:val="00352086"/>
    <w:rsid w:val="003529BD"/>
    <w:rsid w:val="003557F6"/>
    <w:rsid w:val="003621CE"/>
    <w:rsid w:val="003627EF"/>
    <w:rsid w:val="003634E2"/>
    <w:rsid w:val="00363A78"/>
    <w:rsid w:val="003643F8"/>
    <w:rsid w:val="00366F67"/>
    <w:rsid w:val="0037065F"/>
    <w:rsid w:val="003720D1"/>
    <w:rsid w:val="0037266D"/>
    <w:rsid w:val="00375C1F"/>
    <w:rsid w:val="003813C9"/>
    <w:rsid w:val="003821A4"/>
    <w:rsid w:val="00384A17"/>
    <w:rsid w:val="003851CA"/>
    <w:rsid w:val="0038541D"/>
    <w:rsid w:val="00387508"/>
    <w:rsid w:val="00391906"/>
    <w:rsid w:val="0039193E"/>
    <w:rsid w:val="00391AC5"/>
    <w:rsid w:val="00392A1E"/>
    <w:rsid w:val="003933F1"/>
    <w:rsid w:val="00393A9A"/>
    <w:rsid w:val="00395C77"/>
    <w:rsid w:val="00396782"/>
    <w:rsid w:val="00396A19"/>
    <w:rsid w:val="00396D4B"/>
    <w:rsid w:val="00396FEB"/>
    <w:rsid w:val="003A0AD5"/>
    <w:rsid w:val="003A0F24"/>
    <w:rsid w:val="003A1079"/>
    <w:rsid w:val="003A11F6"/>
    <w:rsid w:val="003A1352"/>
    <w:rsid w:val="003A1EED"/>
    <w:rsid w:val="003A2742"/>
    <w:rsid w:val="003A2EE6"/>
    <w:rsid w:val="003A3310"/>
    <w:rsid w:val="003A420A"/>
    <w:rsid w:val="003A519F"/>
    <w:rsid w:val="003A6F46"/>
    <w:rsid w:val="003B1113"/>
    <w:rsid w:val="003B1C09"/>
    <w:rsid w:val="003B3197"/>
    <w:rsid w:val="003B4369"/>
    <w:rsid w:val="003B47ED"/>
    <w:rsid w:val="003B5BAE"/>
    <w:rsid w:val="003C193E"/>
    <w:rsid w:val="003C54CC"/>
    <w:rsid w:val="003C562C"/>
    <w:rsid w:val="003C67E4"/>
    <w:rsid w:val="003C6911"/>
    <w:rsid w:val="003C7925"/>
    <w:rsid w:val="003D0C02"/>
    <w:rsid w:val="003D1BA8"/>
    <w:rsid w:val="003D1D14"/>
    <w:rsid w:val="003D471D"/>
    <w:rsid w:val="003D645F"/>
    <w:rsid w:val="003E10DC"/>
    <w:rsid w:val="003E21E9"/>
    <w:rsid w:val="003E239D"/>
    <w:rsid w:val="003E4FCA"/>
    <w:rsid w:val="003E4FD3"/>
    <w:rsid w:val="003F097C"/>
    <w:rsid w:val="003F16AA"/>
    <w:rsid w:val="003F2293"/>
    <w:rsid w:val="003F342B"/>
    <w:rsid w:val="003F4AB7"/>
    <w:rsid w:val="003F7954"/>
    <w:rsid w:val="00402656"/>
    <w:rsid w:val="00406247"/>
    <w:rsid w:val="00406E9B"/>
    <w:rsid w:val="00407685"/>
    <w:rsid w:val="00407B1E"/>
    <w:rsid w:val="0041043C"/>
    <w:rsid w:val="00412E17"/>
    <w:rsid w:val="00416785"/>
    <w:rsid w:val="0041746D"/>
    <w:rsid w:val="00417601"/>
    <w:rsid w:val="00417A84"/>
    <w:rsid w:val="00420D73"/>
    <w:rsid w:val="0042154F"/>
    <w:rsid w:val="00422186"/>
    <w:rsid w:val="0042521E"/>
    <w:rsid w:val="0042651B"/>
    <w:rsid w:val="004301DE"/>
    <w:rsid w:val="0043065A"/>
    <w:rsid w:val="004318CA"/>
    <w:rsid w:val="00431B46"/>
    <w:rsid w:val="00431D3C"/>
    <w:rsid w:val="00433F20"/>
    <w:rsid w:val="0043506E"/>
    <w:rsid w:val="00436FE4"/>
    <w:rsid w:val="0044070C"/>
    <w:rsid w:val="004408D1"/>
    <w:rsid w:val="00441BEC"/>
    <w:rsid w:val="004428DE"/>
    <w:rsid w:val="00442E50"/>
    <w:rsid w:val="00444241"/>
    <w:rsid w:val="0044553B"/>
    <w:rsid w:val="004459F9"/>
    <w:rsid w:val="0044653C"/>
    <w:rsid w:val="00446894"/>
    <w:rsid w:val="0044698D"/>
    <w:rsid w:val="00446BAA"/>
    <w:rsid w:val="00446F38"/>
    <w:rsid w:val="004508B8"/>
    <w:rsid w:val="00451DFB"/>
    <w:rsid w:val="00452D85"/>
    <w:rsid w:val="00453286"/>
    <w:rsid w:val="00453D6C"/>
    <w:rsid w:val="00454AF2"/>
    <w:rsid w:val="004559D0"/>
    <w:rsid w:val="00456C5B"/>
    <w:rsid w:val="0045733E"/>
    <w:rsid w:val="004573FA"/>
    <w:rsid w:val="00463942"/>
    <w:rsid w:val="00464E35"/>
    <w:rsid w:val="004654BC"/>
    <w:rsid w:val="004654CB"/>
    <w:rsid w:val="00466B93"/>
    <w:rsid w:val="004702C2"/>
    <w:rsid w:val="004729EF"/>
    <w:rsid w:val="004731FE"/>
    <w:rsid w:val="00476B4B"/>
    <w:rsid w:val="004809B5"/>
    <w:rsid w:val="0048145B"/>
    <w:rsid w:val="00481B43"/>
    <w:rsid w:val="0048347E"/>
    <w:rsid w:val="00483DAA"/>
    <w:rsid w:val="00484022"/>
    <w:rsid w:val="0048570C"/>
    <w:rsid w:val="00486487"/>
    <w:rsid w:val="0048653D"/>
    <w:rsid w:val="0048763A"/>
    <w:rsid w:val="00490561"/>
    <w:rsid w:val="00492181"/>
    <w:rsid w:val="00492CAD"/>
    <w:rsid w:val="004945B1"/>
    <w:rsid w:val="00494A92"/>
    <w:rsid w:val="00495944"/>
    <w:rsid w:val="00495A57"/>
    <w:rsid w:val="00495EB5"/>
    <w:rsid w:val="00496247"/>
    <w:rsid w:val="004969FD"/>
    <w:rsid w:val="004A006D"/>
    <w:rsid w:val="004A15E7"/>
    <w:rsid w:val="004A5C0E"/>
    <w:rsid w:val="004A6BE0"/>
    <w:rsid w:val="004A7965"/>
    <w:rsid w:val="004B05AC"/>
    <w:rsid w:val="004B27B7"/>
    <w:rsid w:val="004B37BB"/>
    <w:rsid w:val="004B5F93"/>
    <w:rsid w:val="004B6616"/>
    <w:rsid w:val="004B7DA7"/>
    <w:rsid w:val="004C047C"/>
    <w:rsid w:val="004C1572"/>
    <w:rsid w:val="004C32AB"/>
    <w:rsid w:val="004C35CF"/>
    <w:rsid w:val="004D140F"/>
    <w:rsid w:val="004D4385"/>
    <w:rsid w:val="004D578F"/>
    <w:rsid w:val="004D58FF"/>
    <w:rsid w:val="004D59E5"/>
    <w:rsid w:val="004D76CF"/>
    <w:rsid w:val="004E0E27"/>
    <w:rsid w:val="004E164E"/>
    <w:rsid w:val="004E26D6"/>
    <w:rsid w:val="004E30CB"/>
    <w:rsid w:val="004E3388"/>
    <w:rsid w:val="004E5051"/>
    <w:rsid w:val="004E533C"/>
    <w:rsid w:val="004E5664"/>
    <w:rsid w:val="004E6534"/>
    <w:rsid w:val="004E7C87"/>
    <w:rsid w:val="004F004C"/>
    <w:rsid w:val="004F09C8"/>
    <w:rsid w:val="004F2C1A"/>
    <w:rsid w:val="004F2E33"/>
    <w:rsid w:val="004F47F5"/>
    <w:rsid w:val="004F7230"/>
    <w:rsid w:val="00500B0A"/>
    <w:rsid w:val="0050203F"/>
    <w:rsid w:val="00503202"/>
    <w:rsid w:val="00504167"/>
    <w:rsid w:val="00504641"/>
    <w:rsid w:val="0050481A"/>
    <w:rsid w:val="0051054E"/>
    <w:rsid w:val="00514A5F"/>
    <w:rsid w:val="0051511D"/>
    <w:rsid w:val="0051721B"/>
    <w:rsid w:val="00517CC8"/>
    <w:rsid w:val="00520474"/>
    <w:rsid w:val="0052302B"/>
    <w:rsid w:val="005245D8"/>
    <w:rsid w:val="0052543C"/>
    <w:rsid w:val="00525D0D"/>
    <w:rsid w:val="00527981"/>
    <w:rsid w:val="00531476"/>
    <w:rsid w:val="00531C32"/>
    <w:rsid w:val="00532BE2"/>
    <w:rsid w:val="00533E6F"/>
    <w:rsid w:val="00536865"/>
    <w:rsid w:val="00541AC2"/>
    <w:rsid w:val="00542F50"/>
    <w:rsid w:val="005434EA"/>
    <w:rsid w:val="0054377D"/>
    <w:rsid w:val="005439BB"/>
    <w:rsid w:val="00544E58"/>
    <w:rsid w:val="00546AA2"/>
    <w:rsid w:val="00547EED"/>
    <w:rsid w:val="00550032"/>
    <w:rsid w:val="00555010"/>
    <w:rsid w:val="0055515C"/>
    <w:rsid w:val="00555635"/>
    <w:rsid w:val="0055771C"/>
    <w:rsid w:val="00557DF7"/>
    <w:rsid w:val="00560112"/>
    <w:rsid w:val="0056072D"/>
    <w:rsid w:val="00561353"/>
    <w:rsid w:val="0056261E"/>
    <w:rsid w:val="005631E5"/>
    <w:rsid w:val="005707D7"/>
    <w:rsid w:val="00572450"/>
    <w:rsid w:val="00572794"/>
    <w:rsid w:val="005776B3"/>
    <w:rsid w:val="00577B25"/>
    <w:rsid w:val="00577FA3"/>
    <w:rsid w:val="005800AE"/>
    <w:rsid w:val="005818F2"/>
    <w:rsid w:val="00583585"/>
    <w:rsid w:val="00584402"/>
    <w:rsid w:val="0058467B"/>
    <w:rsid w:val="00584754"/>
    <w:rsid w:val="005847B4"/>
    <w:rsid w:val="00587B31"/>
    <w:rsid w:val="00591874"/>
    <w:rsid w:val="00591995"/>
    <w:rsid w:val="00591A9A"/>
    <w:rsid w:val="00591AFC"/>
    <w:rsid w:val="00593A13"/>
    <w:rsid w:val="005942C9"/>
    <w:rsid w:val="00594C6B"/>
    <w:rsid w:val="00595D60"/>
    <w:rsid w:val="00595FF1"/>
    <w:rsid w:val="00596155"/>
    <w:rsid w:val="0059699B"/>
    <w:rsid w:val="00596B55"/>
    <w:rsid w:val="005A44CD"/>
    <w:rsid w:val="005A4AEC"/>
    <w:rsid w:val="005A50F5"/>
    <w:rsid w:val="005A6441"/>
    <w:rsid w:val="005A6487"/>
    <w:rsid w:val="005A65FF"/>
    <w:rsid w:val="005B0A1B"/>
    <w:rsid w:val="005B0FF6"/>
    <w:rsid w:val="005B136F"/>
    <w:rsid w:val="005B262F"/>
    <w:rsid w:val="005B4101"/>
    <w:rsid w:val="005B4921"/>
    <w:rsid w:val="005B4E40"/>
    <w:rsid w:val="005B55FD"/>
    <w:rsid w:val="005B7EB5"/>
    <w:rsid w:val="005C07D3"/>
    <w:rsid w:val="005C1775"/>
    <w:rsid w:val="005C25C8"/>
    <w:rsid w:val="005C39A8"/>
    <w:rsid w:val="005C5ADE"/>
    <w:rsid w:val="005C5C1D"/>
    <w:rsid w:val="005C6038"/>
    <w:rsid w:val="005C611C"/>
    <w:rsid w:val="005C7591"/>
    <w:rsid w:val="005C7BD4"/>
    <w:rsid w:val="005D0855"/>
    <w:rsid w:val="005D0FDD"/>
    <w:rsid w:val="005D13C0"/>
    <w:rsid w:val="005D720D"/>
    <w:rsid w:val="005E056A"/>
    <w:rsid w:val="005E0A93"/>
    <w:rsid w:val="005E0E1D"/>
    <w:rsid w:val="005E2461"/>
    <w:rsid w:val="005E247B"/>
    <w:rsid w:val="005E4CFC"/>
    <w:rsid w:val="005E567C"/>
    <w:rsid w:val="005E5A35"/>
    <w:rsid w:val="005F1C4C"/>
    <w:rsid w:val="005F347D"/>
    <w:rsid w:val="005F4060"/>
    <w:rsid w:val="005F5FD1"/>
    <w:rsid w:val="005F6497"/>
    <w:rsid w:val="005F6A35"/>
    <w:rsid w:val="00600C3B"/>
    <w:rsid w:val="006023E9"/>
    <w:rsid w:val="00604BE0"/>
    <w:rsid w:val="00604ED7"/>
    <w:rsid w:val="00605C52"/>
    <w:rsid w:val="006069F4"/>
    <w:rsid w:val="006075F1"/>
    <w:rsid w:val="00607B2C"/>
    <w:rsid w:val="00610C89"/>
    <w:rsid w:val="006112D1"/>
    <w:rsid w:val="00611BF1"/>
    <w:rsid w:val="006129B4"/>
    <w:rsid w:val="00615428"/>
    <w:rsid w:val="0061579B"/>
    <w:rsid w:val="00615A41"/>
    <w:rsid w:val="00615F56"/>
    <w:rsid w:val="00617A40"/>
    <w:rsid w:val="00617C47"/>
    <w:rsid w:val="00617E3E"/>
    <w:rsid w:val="0062089C"/>
    <w:rsid w:val="006209D1"/>
    <w:rsid w:val="00620E03"/>
    <w:rsid w:val="00621317"/>
    <w:rsid w:val="006230D7"/>
    <w:rsid w:val="0062327B"/>
    <w:rsid w:val="00623636"/>
    <w:rsid w:val="00625539"/>
    <w:rsid w:val="0062743C"/>
    <w:rsid w:val="006309DB"/>
    <w:rsid w:val="00631E9B"/>
    <w:rsid w:val="00632335"/>
    <w:rsid w:val="00632354"/>
    <w:rsid w:val="006336DA"/>
    <w:rsid w:val="00633ED2"/>
    <w:rsid w:val="00634D66"/>
    <w:rsid w:val="006361FB"/>
    <w:rsid w:val="006401AA"/>
    <w:rsid w:val="00640FA0"/>
    <w:rsid w:val="006424C6"/>
    <w:rsid w:val="00642581"/>
    <w:rsid w:val="0064570B"/>
    <w:rsid w:val="00646900"/>
    <w:rsid w:val="0065067B"/>
    <w:rsid w:val="00651369"/>
    <w:rsid w:val="006527BC"/>
    <w:rsid w:val="006535CC"/>
    <w:rsid w:val="00653D64"/>
    <w:rsid w:val="0065408D"/>
    <w:rsid w:val="006555CE"/>
    <w:rsid w:val="0065614D"/>
    <w:rsid w:val="00656299"/>
    <w:rsid w:val="006570C0"/>
    <w:rsid w:val="00657778"/>
    <w:rsid w:val="00657F99"/>
    <w:rsid w:val="006608EA"/>
    <w:rsid w:val="00661B5D"/>
    <w:rsid w:val="006633E8"/>
    <w:rsid w:val="00664290"/>
    <w:rsid w:val="006651B0"/>
    <w:rsid w:val="006652A5"/>
    <w:rsid w:val="006679C0"/>
    <w:rsid w:val="0067386F"/>
    <w:rsid w:val="00673B49"/>
    <w:rsid w:val="00673EE2"/>
    <w:rsid w:val="00675B3E"/>
    <w:rsid w:val="00675E96"/>
    <w:rsid w:val="0067692D"/>
    <w:rsid w:val="00676E47"/>
    <w:rsid w:val="0067706A"/>
    <w:rsid w:val="00677A9A"/>
    <w:rsid w:val="00680759"/>
    <w:rsid w:val="00681096"/>
    <w:rsid w:val="00681D06"/>
    <w:rsid w:val="0068203A"/>
    <w:rsid w:val="00682298"/>
    <w:rsid w:val="0068392E"/>
    <w:rsid w:val="0068550A"/>
    <w:rsid w:val="0068710D"/>
    <w:rsid w:val="00687A28"/>
    <w:rsid w:val="0069129F"/>
    <w:rsid w:val="006942DE"/>
    <w:rsid w:val="00695773"/>
    <w:rsid w:val="006959F4"/>
    <w:rsid w:val="00695F4B"/>
    <w:rsid w:val="00696055"/>
    <w:rsid w:val="00696C4B"/>
    <w:rsid w:val="006A2144"/>
    <w:rsid w:val="006A5005"/>
    <w:rsid w:val="006A770B"/>
    <w:rsid w:val="006A78AB"/>
    <w:rsid w:val="006B11B9"/>
    <w:rsid w:val="006B2BFD"/>
    <w:rsid w:val="006B2F59"/>
    <w:rsid w:val="006B3E7B"/>
    <w:rsid w:val="006B44DE"/>
    <w:rsid w:val="006B68A9"/>
    <w:rsid w:val="006B68BB"/>
    <w:rsid w:val="006C2AFB"/>
    <w:rsid w:val="006C5BED"/>
    <w:rsid w:val="006C6196"/>
    <w:rsid w:val="006C63FA"/>
    <w:rsid w:val="006C79CC"/>
    <w:rsid w:val="006C7C94"/>
    <w:rsid w:val="006D02E7"/>
    <w:rsid w:val="006D267E"/>
    <w:rsid w:val="006D2F82"/>
    <w:rsid w:val="006D419D"/>
    <w:rsid w:val="006D471A"/>
    <w:rsid w:val="006D5130"/>
    <w:rsid w:val="006E381A"/>
    <w:rsid w:val="006E409B"/>
    <w:rsid w:val="006E492C"/>
    <w:rsid w:val="006E56D5"/>
    <w:rsid w:val="006E5A5A"/>
    <w:rsid w:val="006F05F7"/>
    <w:rsid w:val="006F2A5C"/>
    <w:rsid w:val="006F31E9"/>
    <w:rsid w:val="006F4431"/>
    <w:rsid w:val="006F72D5"/>
    <w:rsid w:val="006F72F6"/>
    <w:rsid w:val="00700CD1"/>
    <w:rsid w:val="007012CD"/>
    <w:rsid w:val="00702B90"/>
    <w:rsid w:val="0070447C"/>
    <w:rsid w:val="0070498A"/>
    <w:rsid w:val="00706D14"/>
    <w:rsid w:val="00707AB5"/>
    <w:rsid w:val="00711028"/>
    <w:rsid w:val="007110BD"/>
    <w:rsid w:val="00711C5C"/>
    <w:rsid w:val="00713CDF"/>
    <w:rsid w:val="0071444C"/>
    <w:rsid w:val="007153CF"/>
    <w:rsid w:val="0071629F"/>
    <w:rsid w:val="00716683"/>
    <w:rsid w:val="00717015"/>
    <w:rsid w:val="00720231"/>
    <w:rsid w:val="00720CE7"/>
    <w:rsid w:val="0072125E"/>
    <w:rsid w:val="00721DCF"/>
    <w:rsid w:val="0072286D"/>
    <w:rsid w:val="00723A1F"/>
    <w:rsid w:val="00724E82"/>
    <w:rsid w:val="00725141"/>
    <w:rsid w:val="0072584B"/>
    <w:rsid w:val="00727B0F"/>
    <w:rsid w:val="00727CFC"/>
    <w:rsid w:val="00730673"/>
    <w:rsid w:val="00730741"/>
    <w:rsid w:val="00731300"/>
    <w:rsid w:val="00734A39"/>
    <w:rsid w:val="00737944"/>
    <w:rsid w:val="007403F3"/>
    <w:rsid w:val="00742CED"/>
    <w:rsid w:val="00744CC0"/>
    <w:rsid w:val="00744DC7"/>
    <w:rsid w:val="0074513B"/>
    <w:rsid w:val="007453DB"/>
    <w:rsid w:val="00745D0B"/>
    <w:rsid w:val="00745EBE"/>
    <w:rsid w:val="00746683"/>
    <w:rsid w:val="0074781F"/>
    <w:rsid w:val="00747A13"/>
    <w:rsid w:val="00752F91"/>
    <w:rsid w:val="00753EB1"/>
    <w:rsid w:val="007571BD"/>
    <w:rsid w:val="0075779A"/>
    <w:rsid w:val="00762B16"/>
    <w:rsid w:val="00763807"/>
    <w:rsid w:val="00764DDF"/>
    <w:rsid w:val="00764E50"/>
    <w:rsid w:val="00765D18"/>
    <w:rsid w:val="00766275"/>
    <w:rsid w:val="00766629"/>
    <w:rsid w:val="00766EC1"/>
    <w:rsid w:val="00767C83"/>
    <w:rsid w:val="00770305"/>
    <w:rsid w:val="0077075F"/>
    <w:rsid w:val="00770AD6"/>
    <w:rsid w:val="0077403A"/>
    <w:rsid w:val="00777FE7"/>
    <w:rsid w:val="007824B2"/>
    <w:rsid w:val="0078257B"/>
    <w:rsid w:val="00782A64"/>
    <w:rsid w:val="0078436A"/>
    <w:rsid w:val="0078446D"/>
    <w:rsid w:val="0078687B"/>
    <w:rsid w:val="00786908"/>
    <w:rsid w:val="0078717C"/>
    <w:rsid w:val="0078758C"/>
    <w:rsid w:val="007907A9"/>
    <w:rsid w:val="007918C5"/>
    <w:rsid w:val="00792482"/>
    <w:rsid w:val="007934C2"/>
    <w:rsid w:val="00794C8F"/>
    <w:rsid w:val="00795081"/>
    <w:rsid w:val="00796100"/>
    <w:rsid w:val="00796AB0"/>
    <w:rsid w:val="007A016B"/>
    <w:rsid w:val="007A040B"/>
    <w:rsid w:val="007A0978"/>
    <w:rsid w:val="007A29B5"/>
    <w:rsid w:val="007A29D7"/>
    <w:rsid w:val="007A4006"/>
    <w:rsid w:val="007A41C8"/>
    <w:rsid w:val="007A508F"/>
    <w:rsid w:val="007A64E8"/>
    <w:rsid w:val="007A6D32"/>
    <w:rsid w:val="007A776A"/>
    <w:rsid w:val="007A7E5E"/>
    <w:rsid w:val="007A7FCE"/>
    <w:rsid w:val="007B1EAD"/>
    <w:rsid w:val="007B2A3D"/>
    <w:rsid w:val="007B2B9F"/>
    <w:rsid w:val="007B2C1F"/>
    <w:rsid w:val="007B484E"/>
    <w:rsid w:val="007B4875"/>
    <w:rsid w:val="007B5970"/>
    <w:rsid w:val="007B59A2"/>
    <w:rsid w:val="007B60A5"/>
    <w:rsid w:val="007B7E26"/>
    <w:rsid w:val="007C03F8"/>
    <w:rsid w:val="007C24BE"/>
    <w:rsid w:val="007C3DE6"/>
    <w:rsid w:val="007C4CDF"/>
    <w:rsid w:val="007C4DC2"/>
    <w:rsid w:val="007C6683"/>
    <w:rsid w:val="007C66D0"/>
    <w:rsid w:val="007C74B8"/>
    <w:rsid w:val="007C74EA"/>
    <w:rsid w:val="007C753F"/>
    <w:rsid w:val="007C7CFE"/>
    <w:rsid w:val="007D056B"/>
    <w:rsid w:val="007D0D62"/>
    <w:rsid w:val="007D1D11"/>
    <w:rsid w:val="007D21B4"/>
    <w:rsid w:val="007D32DA"/>
    <w:rsid w:val="007D38B5"/>
    <w:rsid w:val="007D544F"/>
    <w:rsid w:val="007D5848"/>
    <w:rsid w:val="007D6245"/>
    <w:rsid w:val="007E0E3C"/>
    <w:rsid w:val="007E195E"/>
    <w:rsid w:val="007E3897"/>
    <w:rsid w:val="007E5230"/>
    <w:rsid w:val="007E62AD"/>
    <w:rsid w:val="007E6927"/>
    <w:rsid w:val="007F12AD"/>
    <w:rsid w:val="007F19DB"/>
    <w:rsid w:val="007F2E8A"/>
    <w:rsid w:val="007F3575"/>
    <w:rsid w:val="007F457F"/>
    <w:rsid w:val="007F4FDC"/>
    <w:rsid w:val="007F568B"/>
    <w:rsid w:val="007F56C2"/>
    <w:rsid w:val="007F5D5F"/>
    <w:rsid w:val="007F7C32"/>
    <w:rsid w:val="00803CD0"/>
    <w:rsid w:val="0080434B"/>
    <w:rsid w:val="00804849"/>
    <w:rsid w:val="00804E53"/>
    <w:rsid w:val="008073A4"/>
    <w:rsid w:val="00807AAA"/>
    <w:rsid w:val="00807D66"/>
    <w:rsid w:val="00810875"/>
    <w:rsid w:val="00810BD2"/>
    <w:rsid w:val="0081116D"/>
    <w:rsid w:val="008113D6"/>
    <w:rsid w:val="00811502"/>
    <w:rsid w:val="00813870"/>
    <w:rsid w:val="00815139"/>
    <w:rsid w:val="00815DAB"/>
    <w:rsid w:val="00820855"/>
    <w:rsid w:val="0082282A"/>
    <w:rsid w:val="0082555C"/>
    <w:rsid w:val="00825ED8"/>
    <w:rsid w:val="008334EA"/>
    <w:rsid w:val="00841902"/>
    <w:rsid w:val="008423C1"/>
    <w:rsid w:val="00845237"/>
    <w:rsid w:val="0084566C"/>
    <w:rsid w:val="008463DA"/>
    <w:rsid w:val="00846BA7"/>
    <w:rsid w:val="0084703B"/>
    <w:rsid w:val="0084712E"/>
    <w:rsid w:val="0085082A"/>
    <w:rsid w:val="00853AB1"/>
    <w:rsid w:val="00853BE7"/>
    <w:rsid w:val="0085425D"/>
    <w:rsid w:val="00854B30"/>
    <w:rsid w:val="008551DD"/>
    <w:rsid w:val="00860235"/>
    <w:rsid w:val="008612D6"/>
    <w:rsid w:val="00863503"/>
    <w:rsid w:val="0086499E"/>
    <w:rsid w:val="0086626F"/>
    <w:rsid w:val="008663D3"/>
    <w:rsid w:val="008722CE"/>
    <w:rsid w:val="0087264B"/>
    <w:rsid w:val="008728BD"/>
    <w:rsid w:val="00873093"/>
    <w:rsid w:val="00874A7F"/>
    <w:rsid w:val="00876465"/>
    <w:rsid w:val="00880BCB"/>
    <w:rsid w:val="00880D19"/>
    <w:rsid w:val="00882746"/>
    <w:rsid w:val="00882837"/>
    <w:rsid w:val="00885657"/>
    <w:rsid w:val="008906B0"/>
    <w:rsid w:val="008919EA"/>
    <w:rsid w:val="00891A35"/>
    <w:rsid w:val="008929F1"/>
    <w:rsid w:val="00892E93"/>
    <w:rsid w:val="00893F1F"/>
    <w:rsid w:val="008945C3"/>
    <w:rsid w:val="00895C67"/>
    <w:rsid w:val="00895F0E"/>
    <w:rsid w:val="0089673D"/>
    <w:rsid w:val="00896877"/>
    <w:rsid w:val="00896AF8"/>
    <w:rsid w:val="00897EB1"/>
    <w:rsid w:val="008A03E3"/>
    <w:rsid w:val="008A2C68"/>
    <w:rsid w:val="008A60B6"/>
    <w:rsid w:val="008B0592"/>
    <w:rsid w:val="008B141F"/>
    <w:rsid w:val="008B18D9"/>
    <w:rsid w:val="008B2440"/>
    <w:rsid w:val="008B273D"/>
    <w:rsid w:val="008B2F8C"/>
    <w:rsid w:val="008B3AB6"/>
    <w:rsid w:val="008B4D33"/>
    <w:rsid w:val="008B5145"/>
    <w:rsid w:val="008B550C"/>
    <w:rsid w:val="008B7BC8"/>
    <w:rsid w:val="008C12B2"/>
    <w:rsid w:val="008C3882"/>
    <w:rsid w:val="008C67BD"/>
    <w:rsid w:val="008C694F"/>
    <w:rsid w:val="008C7B46"/>
    <w:rsid w:val="008D1239"/>
    <w:rsid w:val="008D54DB"/>
    <w:rsid w:val="008E2622"/>
    <w:rsid w:val="008E2C5C"/>
    <w:rsid w:val="008E3530"/>
    <w:rsid w:val="008E4FCB"/>
    <w:rsid w:val="008E622B"/>
    <w:rsid w:val="008E655B"/>
    <w:rsid w:val="008F0532"/>
    <w:rsid w:val="008F066C"/>
    <w:rsid w:val="008F1507"/>
    <w:rsid w:val="008F198B"/>
    <w:rsid w:val="008F25E8"/>
    <w:rsid w:val="008F7FF4"/>
    <w:rsid w:val="00903327"/>
    <w:rsid w:val="009033E1"/>
    <w:rsid w:val="00904876"/>
    <w:rsid w:val="0090680C"/>
    <w:rsid w:val="00906E21"/>
    <w:rsid w:val="00907734"/>
    <w:rsid w:val="009077A1"/>
    <w:rsid w:val="00910209"/>
    <w:rsid w:val="00917598"/>
    <w:rsid w:val="009175DC"/>
    <w:rsid w:val="00917DC8"/>
    <w:rsid w:val="0092166C"/>
    <w:rsid w:val="009222AF"/>
    <w:rsid w:val="00923489"/>
    <w:rsid w:val="009258EB"/>
    <w:rsid w:val="009264C7"/>
    <w:rsid w:val="00926F55"/>
    <w:rsid w:val="00927355"/>
    <w:rsid w:val="00927AD8"/>
    <w:rsid w:val="00927F24"/>
    <w:rsid w:val="00931B4D"/>
    <w:rsid w:val="00933578"/>
    <w:rsid w:val="00934843"/>
    <w:rsid w:val="00934E6E"/>
    <w:rsid w:val="00935F25"/>
    <w:rsid w:val="0094282A"/>
    <w:rsid w:val="00942CBD"/>
    <w:rsid w:val="00943D86"/>
    <w:rsid w:val="0094500B"/>
    <w:rsid w:val="00951A21"/>
    <w:rsid w:val="00954629"/>
    <w:rsid w:val="009546E6"/>
    <w:rsid w:val="00954CFA"/>
    <w:rsid w:val="009562E2"/>
    <w:rsid w:val="00956DE4"/>
    <w:rsid w:val="009668B8"/>
    <w:rsid w:val="0096717D"/>
    <w:rsid w:val="0096751C"/>
    <w:rsid w:val="009679E4"/>
    <w:rsid w:val="009706AB"/>
    <w:rsid w:val="00971E51"/>
    <w:rsid w:val="0097331E"/>
    <w:rsid w:val="0097384E"/>
    <w:rsid w:val="009738C4"/>
    <w:rsid w:val="00974B8B"/>
    <w:rsid w:val="00975429"/>
    <w:rsid w:val="00976332"/>
    <w:rsid w:val="00976F12"/>
    <w:rsid w:val="009773DA"/>
    <w:rsid w:val="00977D7C"/>
    <w:rsid w:val="00980649"/>
    <w:rsid w:val="00980C63"/>
    <w:rsid w:val="009817F8"/>
    <w:rsid w:val="00981FCC"/>
    <w:rsid w:val="00984FCC"/>
    <w:rsid w:val="00985A1E"/>
    <w:rsid w:val="00985A93"/>
    <w:rsid w:val="00987724"/>
    <w:rsid w:val="009923C8"/>
    <w:rsid w:val="00994264"/>
    <w:rsid w:val="00995C95"/>
    <w:rsid w:val="00997A4E"/>
    <w:rsid w:val="00997F54"/>
    <w:rsid w:val="009A01AF"/>
    <w:rsid w:val="009A0E2B"/>
    <w:rsid w:val="009A2725"/>
    <w:rsid w:val="009A3732"/>
    <w:rsid w:val="009A4429"/>
    <w:rsid w:val="009A44D9"/>
    <w:rsid w:val="009A4EC2"/>
    <w:rsid w:val="009A5709"/>
    <w:rsid w:val="009A571F"/>
    <w:rsid w:val="009A5C69"/>
    <w:rsid w:val="009A5E34"/>
    <w:rsid w:val="009A7160"/>
    <w:rsid w:val="009B0220"/>
    <w:rsid w:val="009B15AE"/>
    <w:rsid w:val="009B22D8"/>
    <w:rsid w:val="009B25EA"/>
    <w:rsid w:val="009B2F3A"/>
    <w:rsid w:val="009B304D"/>
    <w:rsid w:val="009B32CE"/>
    <w:rsid w:val="009B40D9"/>
    <w:rsid w:val="009B4A2C"/>
    <w:rsid w:val="009B6121"/>
    <w:rsid w:val="009B6D4D"/>
    <w:rsid w:val="009B73D9"/>
    <w:rsid w:val="009C00C2"/>
    <w:rsid w:val="009C54AE"/>
    <w:rsid w:val="009C721A"/>
    <w:rsid w:val="009C7FA7"/>
    <w:rsid w:val="009D078C"/>
    <w:rsid w:val="009D143E"/>
    <w:rsid w:val="009D211C"/>
    <w:rsid w:val="009D2321"/>
    <w:rsid w:val="009D2A8B"/>
    <w:rsid w:val="009D3862"/>
    <w:rsid w:val="009D3883"/>
    <w:rsid w:val="009D56B7"/>
    <w:rsid w:val="009D5E67"/>
    <w:rsid w:val="009D5E95"/>
    <w:rsid w:val="009D6DB8"/>
    <w:rsid w:val="009D7A28"/>
    <w:rsid w:val="009E4666"/>
    <w:rsid w:val="009E4B8F"/>
    <w:rsid w:val="009E4CB9"/>
    <w:rsid w:val="009E640E"/>
    <w:rsid w:val="009F0869"/>
    <w:rsid w:val="009F1B51"/>
    <w:rsid w:val="009F1BB9"/>
    <w:rsid w:val="009F1D1C"/>
    <w:rsid w:val="009F3086"/>
    <w:rsid w:val="009F362F"/>
    <w:rsid w:val="009F373D"/>
    <w:rsid w:val="009F5040"/>
    <w:rsid w:val="009F644C"/>
    <w:rsid w:val="009F7B23"/>
    <w:rsid w:val="00A00617"/>
    <w:rsid w:val="00A0064F"/>
    <w:rsid w:val="00A03212"/>
    <w:rsid w:val="00A03805"/>
    <w:rsid w:val="00A03839"/>
    <w:rsid w:val="00A04D82"/>
    <w:rsid w:val="00A0581E"/>
    <w:rsid w:val="00A100D4"/>
    <w:rsid w:val="00A10285"/>
    <w:rsid w:val="00A10F61"/>
    <w:rsid w:val="00A12275"/>
    <w:rsid w:val="00A12586"/>
    <w:rsid w:val="00A12AD7"/>
    <w:rsid w:val="00A1377D"/>
    <w:rsid w:val="00A16A44"/>
    <w:rsid w:val="00A1705B"/>
    <w:rsid w:val="00A1751A"/>
    <w:rsid w:val="00A21305"/>
    <w:rsid w:val="00A219FB"/>
    <w:rsid w:val="00A23EB1"/>
    <w:rsid w:val="00A245DD"/>
    <w:rsid w:val="00A25A90"/>
    <w:rsid w:val="00A25CDE"/>
    <w:rsid w:val="00A3094F"/>
    <w:rsid w:val="00A32A62"/>
    <w:rsid w:val="00A32D0C"/>
    <w:rsid w:val="00A350E9"/>
    <w:rsid w:val="00A35991"/>
    <w:rsid w:val="00A3612D"/>
    <w:rsid w:val="00A4223D"/>
    <w:rsid w:val="00A44480"/>
    <w:rsid w:val="00A44E65"/>
    <w:rsid w:val="00A46F5D"/>
    <w:rsid w:val="00A474D2"/>
    <w:rsid w:val="00A474F8"/>
    <w:rsid w:val="00A50539"/>
    <w:rsid w:val="00A50DA0"/>
    <w:rsid w:val="00A5117B"/>
    <w:rsid w:val="00A53145"/>
    <w:rsid w:val="00A53E54"/>
    <w:rsid w:val="00A54BEB"/>
    <w:rsid w:val="00A5587B"/>
    <w:rsid w:val="00A56FCC"/>
    <w:rsid w:val="00A57582"/>
    <w:rsid w:val="00A60431"/>
    <w:rsid w:val="00A61063"/>
    <w:rsid w:val="00A61331"/>
    <w:rsid w:val="00A614BB"/>
    <w:rsid w:val="00A63C29"/>
    <w:rsid w:val="00A63F98"/>
    <w:rsid w:val="00A663F5"/>
    <w:rsid w:val="00A66542"/>
    <w:rsid w:val="00A67884"/>
    <w:rsid w:val="00A70F38"/>
    <w:rsid w:val="00A7397C"/>
    <w:rsid w:val="00A74A33"/>
    <w:rsid w:val="00A75949"/>
    <w:rsid w:val="00A779FB"/>
    <w:rsid w:val="00A8048C"/>
    <w:rsid w:val="00A80968"/>
    <w:rsid w:val="00A816AA"/>
    <w:rsid w:val="00A82111"/>
    <w:rsid w:val="00A8312D"/>
    <w:rsid w:val="00A83E49"/>
    <w:rsid w:val="00A85CC6"/>
    <w:rsid w:val="00A90563"/>
    <w:rsid w:val="00A9201E"/>
    <w:rsid w:val="00A93DBF"/>
    <w:rsid w:val="00A943AA"/>
    <w:rsid w:val="00A94BF2"/>
    <w:rsid w:val="00A94EC8"/>
    <w:rsid w:val="00A97C6B"/>
    <w:rsid w:val="00AA42B3"/>
    <w:rsid w:val="00AA4C65"/>
    <w:rsid w:val="00AA600B"/>
    <w:rsid w:val="00AA70BC"/>
    <w:rsid w:val="00AB0762"/>
    <w:rsid w:val="00AB0DB7"/>
    <w:rsid w:val="00AB0EA8"/>
    <w:rsid w:val="00AB50D9"/>
    <w:rsid w:val="00AB531C"/>
    <w:rsid w:val="00AB537C"/>
    <w:rsid w:val="00AB64AA"/>
    <w:rsid w:val="00AB6D56"/>
    <w:rsid w:val="00AC0699"/>
    <w:rsid w:val="00AC259E"/>
    <w:rsid w:val="00AC4364"/>
    <w:rsid w:val="00AC50CA"/>
    <w:rsid w:val="00AC646F"/>
    <w:rsid w:val="00AC682B"/>
    <w:rsid w:val="00AC6CF4"/>
    <w:rsid w:val="00AC7005"/>
    <w:rsid w:val="00AC79C6"/>
    <w:rsid w:val="00AC7D91"/>
    <w:rsid w:val="00AD0954"/>
    <w:rsid w:val="00AD13D8"/>
    <w:rsid w:val="00AD16C8"/>
    <w:rsid w:val="00AD3CA7"/>
    <w:rsid w:val="00AD4472"/>
    <w:rsid w:val="00AD460D"/>
    <w:rsid w:val="00AD69BF"/>
    <w:rsid w:val="00AD7211"/>
    <w:rsid w:val="00AD747D"/>
    <w:rsid w:val="00AE06DB"/>
    <w:rsid w:val="00AE0882"/>
    <w:rsid w:val="00AE15B3"/>
    <w:rsid w:val="00AE1AA8"/>
    <w:rsid w:val="00AE1E44"/>
    <w:rsid w:val="00AE2733"/>
    <w:rsid w:val="00AE2EB5"/>
    <w:rsid w:val="00AE32E6"/>
    <w:rsid w:val="00AE67CE"/>
    <w:rsid w:val="00AE7394"/>
    <w:rsid w:val="00AF0D2A"/>
    <w:rsid w:val="00AF3453"/>
    <w:rsid w:val="00AF3856"/>
    <w:rsid w:val="00AF38F4"/>
    <w:rsid w:val="00AF4F60"/>
    <w:rsid w:val="00AF684A"/>
    <w:rsid w:val="00AF6DB2"/>
    <w:rsid w:val="00B0190A"/>
    <w:rsid w:val="00B037C4"/>
    <w:rsid w:val="00B045E1"/>
    <w:rsid w:val="00B04F51"/>
    <w:rsid w:val="00B07AC8"/>
    <w:rsid w:val="00B10606"/>
    <w:rsid w:val="00B11050"/>
    <w:rsid w:val="00B11BF6"/>
    <w:rsid w:val="00B12694"/>
    <w:rsid w:val="00B1405C"/>
    <w:rsid w:val="00B14614"/>
    <w:rsid w:val="00B158FA"/>
    <w:rsid w:val="00B15C45"/>
    <w:rsid w:val="00B1608D"/>
    <w:rsid w:val="00B161C5"/>
    <w:rsid w:val="00B16B67"/>
    <w:rsid w:val="00B17984"/>
    <w:rsid w:val="00B17FCC"/>
    <w:rsid w:val="00B2138C"/>
    <w:rsid w:val="00B21EC6"/>
    <w:rsid w:val="00B23076"/>
    <w:rsid w:val="00B2484B"/>
    <w:rsid w:val="00B24A00"/>
    <w:rsid w:val="00B25439"/>
    <w:rsid w:val="00B30102"/>
    <w:rsid w:val="00B310C0"/>
    <w:rsid w:val="00B31540"/>
    <w:rsid w:val="00B31606"/>
    <w:rsid w:val="00B32D35"/>
    <w:rsid w:val="00B3399A"/>
    <w:rsid w:val="00B33E8A"/>
    <w:rsid w:val="00B367C9"/>
    <w:rsid w:val="00B408D6"/>
    <w:rsid w:val="00B427F7"/>
    <w:rsid w:val="00B45B55"/>
    <w:rsid w:val="00B47763"/>
    <w:rsid w:val="00B501EC"/>
    <w:rsid w:val="00B50C54"/>
    <w:rsid w:val="00B510CB"/>
    <w:rsid w:val="00B5120C"/>
    <w:rsid w:val="00B525CC"/>
    <w:rsid w:val="00B5293E"/>
    <w:rsid w:val="00B533A7"/>
    <w:rsid w:val="00B53626"/>
    <w:rsid w:val="00B54DD4"/>
    <w:rsid w:val="00B553F1"/>
    <w:rsid w:val="00B55D27"/>
    <w:rsid w:val="00B55EFA"/>
    <w:rsid w:val="00B56073"/>
    <w:rsid w:val="00B5647A"/>
    <w:rsid w:val="00B60E61"/>
    <w:rsid w:val="00B619A3"/>
    <w:rsid w:val="00B621C9"/>
    <w:rsid w:val="00B6421D"/>
    <w:rsid w:val="00B648B0"/>
    <w:rsid w:val="00B64B70"/>
    <w:rsid w:val="00B64EF1"/>
    <w:rsid w:val="00B65217"/>
    <w:rsid w:val="00B65229"/>
    <w:rsid w:val="00B66140"/>
    <w:rsid w:val="00B67956"/>
    <w:rsid w:val="00B735BE"/>
    <w:rsid w:val="00B7364A"/>
    <w:rsid w:val="00B75E7C"/>
    <w:rsid w:val="00B80207"/>
    <w:rsid w:val="00B81D95"/>
    <w:rsid w:val="00B83757"/>
    <w:rsid w:val="00B83DE8"/>
    <w:rsid w:val="00B83E19"/>
    <w:rsid w:val="00B85411"/>
    <w:rsid w:val="00B85F88"/>
    <w:rsid w:val="00B86B2D"/>
    <w:rsid w:val="00B87415"/>
    <w:rsid w:val="00B87662"/>
    <w:rsid w:val="00B901D2"/>
    <w:rsid w:val="00B92741"/>
    <w:rsid w:val="00B929BC"/>
    <w:rsid w:val="00B92A67"/>
    <w:rsid w:val="00B94B68"/>
    <w:rsid w:val="00B95691"/>
    <w:rsid w:val="00B95E2F"/>
    <w:rsid w:val="00B978BD"/>
    <w:rsid w:val="00B979BA"/>
    <w:rsid w:val="00BA00FF"/>
    <w:rsid w:val="00BA0E38"/>
    <w:rsid w:val="00BA43EB"/>
    <w:rsid w:val="00BA5F85"/>
    <w:rsid w:val="00BA6C50"/>
    <w:rsid w:val="00BA75F8"/>
    <w:rsid w:val="00BA767D"/>
    <w:rsid w:val="00BB0826"/>
    <w:rsid w:val="00BB76F9"/>
    <w:rsid w:val="00BC06D9"/>
    <w:rsid w:val="00BC48C0"/>
    <w:rsid w:val="00BC50E0"/>
    <w:rsid w:val="00BC5A14"/>
    <w:rsid w:val="00BC6481"/>
    <w:rsid w:val="00BC6B5A"/>
    <w:rsid w:val="00BC7106"/>
    <w:rsid w:val="00BC781B"/>
    <w:rsid w:val="00BC7D68"/>
    <w:rsid w:val="00BD2FBB"/>
    <w:rsid w:val="00BD323C"/>
    <w:rsid w:val="00BD4C26"/>
    <w:rsid w:val="00BD5771"/>
    <w:rsid w:val="00BD7A06"/>
    <w:rsid w:val="00BD7C9D"/>
    <w:rsid w:val="00BE2852"/>
    <w:rsid w:val="00BE2A83"/>
    <w:rsid w:val="00BE4BC8"/>
    <w:rsid w:val="00BE4D81"/>
    <w:rsid w:val="00BE57AE"/>
    <w:rsid w:val="00BE5C58"/>
    <w:rsid w:val="00BE710E"/>
    <w:rsid w:val="00BF082B"/>
    <w:rsid w:val="00BF08A2"/>
    <w:rsid w:val="00BF0BA7"/>
    <w:rsid w:val="00BF1437"/>
    <w:rsid w:val="00BF1A30"/>
    <w:rsid w:val="00BF25D3"/>
    <w:rsid w:val="00BF2B7C"/>
    <w:rsid w:val="00BF3BA4"/>
    <w:rsid w:val="00BF4689"/>
    <w:rsid w:val="00BF5647"/>
    <w:rsid w:val="00BF728A"/>
    <w:rsid w:val="00C0059E"/>
    <w:rsid w:val="00C00F13"/>
    <w:rsid w:val="00C018F6"/>
    <w:rsid w:val="00C025AB"/>
    <w:rsid w:val="00C04235"/>
    <w:rsid w:val="00C042B3"/>
    <w:rsid w:val="00C047DD"/>
    <w:rsid w:val="00C05952"/>
    <w:rsid w:val="00C05D4C"/>
    <w:rsid w:val="00C075FA"/>
    <w:rsid w:val="00C07772"/>
    <w:rsid w:val="00C11DEF"/>
    <w:rsid w:val="00C152CA"/>
    <w:rsid w:val="00C15FE1"/>
    <w:rsid w:val="00C20B8F"/>
    <w:rsid w:val="00C20B9A"/>
    <w:rsid w:val="00C219D5"/>
    <w:rsid w:val="00C223FE"/>
    <w:rsid w:val="00C2308D"/>
    <w:rsid w:val="00C23183"/>
    <w:rsid w:val="00C244BD"/>
    <w:rsid w:val="00C2562B"/>
    <w:rsid w:val="00C25E8A"/>
    <w:rsid w:val="00C278C9"/>
    <w:rsid w:val="00C30416"/>
    <w:rsid w:val="00C30A6F"/>
    <w:rsid w:val="00C30B3E"/>
    <w:rsid w:val="00C30DF3"/>
    <w:rsid w:val="00C318DE"/>
    <w:rsid w:val="00C33453"/>
    <w:rsid w:val="00C401DE"/>
    <w:rsid w:val="00C405C9"/>
    <w:rsid w:val="00C4392B"/>
    <w:rsid w:val="00C44850"/>
    <w:rsid w:val="00C460E4"/>
    <w:rsid w:val="00C463DC"/>
    <w:rsid w:val="00C47B74"/>
    <w:rsid w:val="00C5050F"/>
    <w:rsid w:val="00C50F47"/>
    <w:rsid w:val="00C52198"/>
    <w:rsid w:val="00C524B6"/>
    <w:rsid w:val="00C531FA"/>
    <w:rsid w:val="00C53B05"/>
    <w:rsid w:val="00C53B8B"/>
    <w:rsid w:val="00C5603A"/>
    <w:rsid w:val="00C5795F"/>
    <w:rsid w:val="00C60B18"/>
    <w:rsid w:val="00C60D20"/>
    <w:rsid w:val="00C619DC"/>
    <w:rsid w:val="00C64576"/>
    <w:rsid w:val="00C64FB1"/>
    <w:rsid w:val="00C67650"/>
    <w:rsid w:val="00C70A2B"/>
    <w:rsid w:val="00C7231A"/>
    <w:rsid w:val="00C734E4"/>
    <w:rsid w:val="00C74B5A"/>
    <w:rsid w:val="00C80319"/>
    <w:rsid w:val="00C81A12"/>
    <w:rsid w:val="00C81C69"/>
    <w:rsid w:val="00C83DD4"/>
    <w:rsid w:val="00C85BFF"/>
    <w:rsid w:val="00C873A4"/>
    <w:rsid w:val="00C90EA9"/>
    <w:rsid w:val="00CA0D4F"/>
    <w:rsid w:val="00CA1224"/>
    <w:rsid w:val="00CA1397"/>
    <w:rsid w:val="00CA519E"/>
    <w:rsid w:val="00CA7DE4"/>
    <w:rsid w:val="00CB165F"/>
    <w:rsid w:val="00CB18A2"/>
    <w:rsid w:val="00CB2FE4"/>
    <w:rsid w:val="00CB3621"/>
    <w:rsid w:val="00CB4A68"/>
    <w:rsid w:val="00CC1380"/>
    <w:rsid w:val="00CC47FF"/>
    <w:rsid w:val="00CC4B2C"/>
    <w:rsid w:val="00CC7D91"/>
    <w:rsid w:val="00CD08DD"/>
    <w:rsid w:val="00CD1A96"/>
    <w:rsid w:val="00CD2824"/>
    <w:rsid w:val="00CD2BB2"/>
    <w:rsid w:val="00CD6203"/>
    <w:rsid w:val="00CD7641"/>
    <w:rsid w:val="00CE05DB"/>
    <w:rsid w:val="00CE0777"/>
    <w:rsid w:val="00CE1474"/>
    <w:rsid w:val="00CE2393"/>
    <w:rsid w:val="00CE26D7"/>
    <w:rsid w:val="00CE2E2F"/>
    <w:rsid w:val="00CE36F1"/>
    <w:rsid w:val="00CE380B"/>
    <w:rsid w:val="00CE3FF2"/>
    <w:rsid w:val="00CE5260"/>
    <w:rsid w:val="00CE56AB"/>
    <w:rsid w:val="00CE6395"/>
    <w:rsid w:val="00CE6BE3"/>
    <w:rsid w:val="00CE7641"/>
    <w:rsid w:val="00CE77D7"/>
    <w:rsid w:val="00CF0FFD"/>
    <w:rsid w:val="00CF4162"/>
    <w:rsid w:val="00CF4528"/>
    <w:rsid w:val="00CF59D2"/>
    <w:rsid w:val="00CF74B8"/>
    <w:rsid w:val="00D01374"/>
    <w:rsid w:val="00D02E0E"/>
    <w:rsid w:val="00D03028"/>
    <w:rsid w:val="00D030AA"/>
    <w:rsid w:val="00D05292"/>
    <w:rsid w:val="00D05363"/>
    <w:rsid w:val="00D05C99"/>
    <w:rsid w:val="00D07E6C"/>
    <w:rsid w:val="00D125AC"/>
    <w:rsid w:val="00D12F91"/>
    <w:rsid w:val="00D13E2D"/>
    <w:rsid w:val="00D14AAA"/>
    <w:rsid w:val="00D155DC"/>
    <w:rsid w:val="00D15C7E"/>
    <w:rsid w:val="00D17DBC"/>
    <w:rsid w:val="00D20D5C"/>
    <w:rsid w:val="00D21EDC"/>
    <w:rsid w:val="00D23502"/>
    <w:rsid w:val="00D237D5"/>
    <w:rsid w:val="00D242BD"/>
    <w:rsid w:val="00D2545E"/>
    <w:rsid w:val="00D256F9"/>
    <w:rsid w:val="00D263F3"/>
    <w:rsid w:val="00D2714E"/>
    <w:rsid w:val="00D3123C"/>
    <w:rsid w:val="00D336EC"/>
    <w:rsid w:val="00D3373B"/>
    <w:rsid w:val="00D34071"/>
    <w:rsid w:val="00D34AAF"/>
    <w:rsid w:val="00D36E59"/>
    <w:rsid w:val="00D40367"/>
    <w:rsid w:val="00D40956"/>
    <w:rsid w:val="00D43D7C"/>
    <w:rsid w:val="00D44FB4"/>
    <w:rsid w:val="00D4527D"/>
    <w:rsid w:val="00D46872"/>
    <w:rsid w:val="00D46BED"/>
    <w:rsid w:val="00D46DD0"/>
    <w:rsid w:val="00D47142"/>
    <w:rsid w:val="00D51D58"/>
    <w:rsid w:val="00D53476"/>
    <w:rsid w:val="00D53D4E"/>
    <w:rsid w:val="00D55309"/>
    <w:rsid w:val="00D567D8"/>
    <w:rsid w:val="00D56A56"/>
    <w:rsid w:val="00D601BE"/>
    <w:rsid w:val="00D624FA"/>
    <w:rsid w:val="00D643A6"/>
    <w:rsid w:val="00D648DD"/>
    <w:rsid w:val="00D6587D"/>
    <w:rsid w:val="00D66F15"/>
    <w:rsid w:val="00D71C76"/>
    <w:rsid w:val="00D7210F"/>
    <w:rsid w:val="00D72DDC"/>
    <w:rsid w:val="00D73733"/>
    <w:rsid w:val="00D747D3"/>
    <w:rsid w:val="00D761A3"/>
    <w:rsid w:val="00D76873"/>
    <w:rsid w:val="00D8078E"/>
    <w:rsid w:val="00D8377A"/>
    <w:rsid w:val="00D83D65"/>
    <w:rsid w:val="00D84ED5"/>
    <w:rsid w:val="00D85B18"/>
    <w:rsid w:val="00D85ED0"/>
    <w:rsid w:val="00D874D3"/>
    <w:rsid w:val="00D87815"/>
    <w:rsid w:val="00D900A0"/>
    <w:rsid w:val="00D93BE8"/>
    <w:rsid w:val="00D93F81"/>
    <w:rsid w:val="00D94428"/>
    <w:rsid w:val="00D94683"/>
    <w:rsid w:val="00D9558B"/>
    <w:rsid w:val="00D957E5"/>
    <w:rsid w:val="00D95832"/>
    <w:rsid w:val="00D965A7"/>
    <w:rsid w:val="00D979E5"/>
    <w:rsid w:val="00DA1DA5"/>
    <w:rsid w:val="00DA39F0"/>
    <w:rsid w:val="00DA499D"/>
    <w:rsid w:val="00DA4A8E"/>
    <w:rsid w:val="00DA52DE"/>
    <w:rsid w:val="00DA673D"/>
    <w:rsid w:val="00DB15E7"/>
    <w:rsid w:val="00DB1B75"/>
    <w:rsid w:val="00DB3214"/>
    <w:rsid w:val="00DB7338"/>
    <w:rsid w:val="00DB7D09"/>
    <w:rsid w:val="00DB7FF7"/>
    <w:rsid w:val="00DC161E"/>
    <w:rsid w:val="00DC4412"/>
    <w:rsid w:val="00DC4F79"/>
    <w:rsid w:val="00DC700B"/>
    <w:rsid w:val="00DC7BA5"/>
    <w:rsid w:val="00DD02DE"/>
    <w:rsid w:val="00DD1630"/>
    <w:rsid w:val="00DD2160"/>
    <w:rsid w:val="00DD409B"/>
    <w:rsid w:val="00DD5611"/>
    <w:rsid w:val="00DD5986"/>
    <w:rsid w:val="00DE07A3"/>
    <w:rsid w:val="00DE109C"/>
    <w:rsid w:val="00DE2590"/>
    <w:rsid w:val="00DE28F7"/>
    <w:rsid w:val="00DE4286"/>
    <w:rsid w:val="00DE52B1"/>
    <w:rsid w:val="00DE60E8"/>
    <w:rsid w:val="00DE7687"/>
    <w:rsid w:val="00DE7FC8"/>
    <w:rsid w:val="00DF1DD2"/>
    <w:rsid w:val="00DF35FC"/>
    <w:rsid w:val="00DF4C2E"/>
    <w:rsid w:val="00DF5546"/>
    <w:rsid w:val="00E015F4"/>
    <w:rsid w:val="00E02C7F"/>
    <w:rsid w:val="00E045EB"/>
    <w:rsid w:val="00E04FA7"/>
    <w:rsid w:val="00E05692"/>
    <w:rsid w:val="00E05729"/>
    <w:rsid w:val="00E068EF"/>
    <w:rsid w:val="00E07DDF"/>
    <w:rsid w:val="00E106CC"/>
    <w:rsid w:val="00E10856"/>
    <w:rsid w:val="00E14889"/>
    <w:rsid w:val="00E14B57"/>
    <w:rsid w:val="00E17897"/>
    <w:rsid w:val="00E20878"/>
    <w:rsid w:val="00E20A48"/>
    <w:rsid w:val="00E212CD"/>
    <w:rsid w:val="00E2161F"/>
    <w:rsid w:val="00E23D5C"/>
    <w:rsid w:val="00E26838"/>
    <w:rsid w:val="00E27A1A"/>
    <w:rsid w:val="00E27CD0"/>
    <w:rsid w:val="00E27F4A"/>
    <w:rsid w:val="00E30092"/>
    <w:rsid w:val="00E306FA"/>
    <w:rsid w:val="00E30F8E"/>
    <w:rsid w:val="00E3226A"/>
    <w:rsid w:val="00E33135"/>
    <w:rsid w:val="00E350DA"/>
    <w:rsid w:val="00E40C89"/>
    <w:rsid w:val="00E44314"/>
    <w:rsid w:val="00E46F0A"/>
    <w:rsid w:val="00E5094F"/>
    <w:rsid w:val="00E52A27"/>
    <w:rsid w:val="00E52A65"/>
    <w:rsid w:val="00E52A78"/>
    <w:rsid w:val="00E54BAE"/>
    <w:rsid w:val="00E5576F"/>
    <w:rsid w:val="00E56B3D"/>
    <w:rsid w:val="00E56DA0"/>
    <w:rsid w:val="00E57BF2"/>
    <w:rsid w:val="00E60509"/>
    <w:rsid w:val="00E605AB"/>
    <w:rsid w:val="00E623C6"/>
    <w:rsid w:val="00E62731"/>
    <w:rsid w:val="00E6464A"/>
    <w:rsid w:val="00E67278"/>
    <w:rsid w:val="00E7083A"/>
    <w:rsid w:val="00E717EE"/>
    <w:rsid w:val="00E72A1E"/>
    <w:rsid w:val="00E7312C"/>
    <w:rsid w:val="00E737B5"/>
    <w:rsid w:val="00E74166"/>
    <w:rsid w:val="00E7530E"/>
    <w:rsid w:val="00E770F5"/>
    <w:rsid w:val="00E77D0D"/>
    <w:rsid w:val="00E80DFC"/>
    <w:rsid w:val="00E8334E"/>
    <w:rsid w:val="00E85A70"/>
    <w:rsid w:val="00E86903"/>
    <w:rsid w:val="00E872FE"/>
    <w:rsid w:val="00E90217"/>
    <w:rsid w:val="00E908F2"/>
    <w:rsid w:val="00E90FE4"/>
    <w:rsid w:val="00E91488"/>
    <w:rsid w:val="00E915BD"/>
    <w:rsid w:val="00E91C7B"/>
    <w:rsid w:val="00E95A8F"/>
    <w:rsid w:val="00E96979"/>
    <w:rsid w:val="00EA0033"/>
    <w:rsid w:val="00EA0F38"/>
    <w:rsid w:val="00EA13AE"/>
    <w:rsid w:val="00EA73EF"/>
    <w:rsid w:val="00EB1831"/>
    <w:rsid w:val="00EB2F2D"/>
    <w:rsid w:val="00EB3C9F"/>
    <w:rsid w:val="00EB3D3C"/>
    <w:rsid w:val="00EB51E7"/>
    <w:rsid w:val="00EB5A34"/>
    <w:rsid w:val="00EB6771"/>
    <w:rsid w:val="00EB6CE4"/>
    <w:rsid w:val="00EB7113"/>
    <w:rsid w:val="00EB7564"/>
    <w:rsid w:val="00EC06BA"/>
    <w:rsid w:val="00EC30D6"/>
    <w:rsid w:val="00EC4F74"/>
    <w:rsid w:val="00EC599B"/>
    <w:rsid w:val="00EC5C40"/>
    <w:rsid w:val="00EC69A8"/>
    <w:rsid w:val="00EC70F0"/>
    <w:rsid w:val="00ED0581"/>
    <w:rsid w:val="00ED0C20"/>
    <w:rsid w:val="00ED2ACE"/>
    <w:rsid w:val="00ED4BDC"/>
    <w:rsid w:val="00ED4F72"/>
    <w:rsid w:val="00ED76E9"/>
    <w:rsid w:val="00ED7B0C"/>
    <w:rsid w:val="00EE0830"/>
    <w:rsid w:val="00EE121C"/>
    <w:rsid w:val="00EE30ED"/>
    <w:rsid w:val="00EE3525"/>
    <w:rsid w:val="00EE45E3"/>
    <w:rsid w:val="00EE552F"/>
    <w:rsid w:val="00EE6D10"/>
    <w:rsid w:val="00EE6E7F"/>
    <w:rsid w:val="00EF2FF8"/>
    <w:rsid w:val="00EF3AE0"/>
    <w:rsid w:val="00EF3BB3"/>
    <w:rsid w:val="00EF4797"/>
    <w:rsid w:val="00EF4DCD"/>
    <w:rsid w:val="00EF62BF"/>
    <w:rsid w:val="00EF7A2E"/>
    <w:rsid w:val="00F01310"/>
    <w:rsid w:val="00F01BA7"/>
    <w:rsid w:val="00F054DE"/>
    <w:rsid w:val="00F07115"/>
    <w:rsid w:val="00F0753E"/>
    <w:rsid w:val="00F12AD1"/>
    <w:rsid w:val="00F12B9C"/>
    <w:rsid w:val="00F12F07"/>
    <w:rsid w:val="00F14147"/>
    <w:rsid w:val="00F148BE"/>
    <w:rsid w:val="00F15E23"/>
    <w:rsid w:val="00F16AA7"/>
    <w:rsid w:val="00F16E09"/>
    <w:rsid w:val="00F16E34"/>
    <w:rsid w:val="00F203C3"/>
    <w:rsid w:val="00F20F82"/>
    <w:rsid w:val="00F2284C"/>
    <w:rsid w:val="00F278F7"/>
    <w:rsid w:val="00F303D0"/>
    <w:rsid w:val="00F30C61"/>
    <w:rsid w:val="00F30E30"/>
    <w:rsid w:val="00F314C9"/>
    <w:rsid w:val="00F31A13"/>
    <w:rsid w:val="00F328B6"/>
    <w:rsid w:val="00F34104"/>
    <w:rsid w:val="00F34395"/>
    <w:rsid w:val="00F34CAD"/>
    <w:rsid w:val="00F35D60"/>
    <w:rsid w:val="00F361D9"/>
    <w:rsid w:val="00F40F3A"/>
    <w:rsid w:val="00F4268F"/>
    <w:rsid w:val="00F44C9E"/>
    <w:rsid w:val="00F454F3"/>
    <w:rsid w:val="00F502BF"/>
    <w:rsid w:val="00F50AA4"/>
    <w:rsid w:val="00F51060"/>
    <w:rsid w:val="00F51372"/>
    <w:rsid w:val="00F516E8"/>
    <w:rsid w:val="00F5236E"/>
    <w:rsid w:val="00F52EEF"/>
    <w:rsid w:val="00F53246"/>
    <w:rsid w:val="00F545A1"/>
    <w:rsid w:val="00F57645"/>
    <w:rsid w:val="00F57E94"/>
    <w:rsid w:val="00F603C8"/>
    <w:rsid w:val="00F60474"/>
    <w:rsid w:val="00F6055A"/>
    <w:rsid w:val="00F61B71"/>
    <w:rsid w:val="00F640C3"/>
    <w:rsid w:val="00F66D50"/>
    <w:rsid w:val="00F674BA"/>
    <w:rsid w:val="00F72AA8"/>
    <w:rsid w:val="00F74B61"/>
    <w:rsid w:val="00F75B11"/>
    <w:rsid w:val="00F75C6B"/>
    <w:rsid w:val="00F76701"/>
    <w:rsid w:val="00F77659"/>
    <w:rsid w:val="00F80854"/>
    <w:rsid w:val="00F8176E"/>
    <w:rsid w:val="00F82B22"/>
    <w:rsid w:val="00F82D97"/>
    <w:rsid w:val="00F82E5E"/>
    <w:rsid w:val="00F849D0"/>
    <w:rsid w:val="00F8516C"/>
    <w:rsid w:val="00F85910"/>
    <w:rsid w:val="00F867A3"/>
    <w:rsid w:val="00F874BA"/>
    <w:rsid w:val="00F90F9F"/>
    <w:rsid w:val="00F923DE"/>
    <w:rsid w:val="00F929DB"/>
    <w:rsid w:val="00F93C91"/>
    <w:rsid w:val="00F9464B"/>
    <w:rsid w:val="00F95C5B"/>
    <w:rsid w:val="00F961E3"/>
    <w:rsid w:val="00F97788"/>
    <w:rsid w:val="00FA1036"/>
    <w:rsid w:val="00FA24EA"/>
    <w:rsid w:val="00FA28C3"/>
    <w:rsid w:val="00FA2C5B"/>
    <w:rsid w:val="00FA35F6"/>
    <w:rsid w:val="00FA3E01"/>
    <w:rsid w:val="00FA45B1"/>
    <w:rsid w:val="00FB1A96"/>
    <w:rsid w:val="00FB59C1"/>
    <w:rsid w:val="00FB635B"/>
    <w:rsid w:val="00FB7CBA"/>
    <w:rsid w:val="00FC03C1"/>
    <w:rsid w:val="00FC109E"/>
    <w:rsid w:val="00FC1AFA"/>
    <w:rsid w:val="00FC4834"/>
    <w:rsid w:val="00FC6ACF"/>
    <w:rsid w:val="00FC6F67"/>
    <w:rsid w:val="00FC74FD"/>
    <w:rsid w:val="00FD0161"/>
    <w:rsid w:val="00FD0E0C"/>
    <w:rsid w:val="00FD12AD"/>
    <w:rsid w:val="00FD1AA2"/>
    <w:rsid w:val="00FD256F"/>
    <w:rsid w:val="00FD3337"/>
    <w:rsid w:val="00FD37E2"/>
    <w:rsid w:val="00FD50E6"/>
    <w:rsid w:val="00FD63D9"/>
    <w:rsid w:val="00FD7AC0"/>
    <w:rsid w:val="00FE08A1"/>
    <w:rsid w:val="00FE1EEC"/>
    <w:rsid w:val="00FE3407"/>
    <w:rsid w:val="00FE4131"/>
    <w:rsid w:val="00FE4A0A"/>
    <w:rsid w:val="00FE4D7D"/>
    <w:rsid w:val="00FE59F9"/>
    <w:rsid w:val="00FE5E40"/>
    <w:rsid w:val="00FE6796"/>
    <w:rsid w:val="00FE6888"/>
    <w:rsid w:val="00FE6A43"/>
    <w:rsid w:val="00FE6AC1"/>
    <w:rsid w:val="00FF016E"/>
    <w:rsid w:val="00FF0B48"/>
    <w:rsid w:val="00FF10DC"/>
    <w:rsid w:val="00FF28A7"/>
    <w:rsid w:val="00FF3A0E"/>
    <w:rsid w:val="00FF3E3A"/>
    <w:rsid w:val="00FF5408"/>
    <w:rsid w:val="00FF7CF2"/>
    <w:rsid w:val="01301A70"/>
    <w:rsid w:val="01535EBC"/>
    <w:rsid w:val="01A051A5"/>
    <w:rsid w:val="01AD6336"/>
    <w:rsid w:val="01AD73F5"/>
    <w:rsid w:val="01D80251"/>
    <w:rsid w:val="01E8211B"/>
    <w:rsid w:val="01ED2F4F"/>
    <w:rsid w:val="021676AC"/>
    <w:rsid w:val="022005DB"/>
    <w:rsid w:val="029A6F8B"/>
    <w:rsid w:val="02B61011"/>
    <w:rsid w:val="031E77DD"/>
    <w:rsid w:val="032F2A05"/>
    <w:rsid w:val="033D4C36"/>
    <w:rsid w:val="038627B8"/>
    <w:rsid w:val="03CF5743"/>
    <w:rsid w:val="04115339"/>
    <w:rsid w:val="04122769"/>
    <w:rsid w:val="041B3FB5"/>
    <w:rsid w:val="0441000A"/>
    <w:rsid w:val="04424A26"/>
    <w:rsid w:val="04BC240B"/>
    <w:rsid w:val="04BE3BD3"/>
    <w:rsid w:val="04E57349"/>
    <w:rsid w:val="05A51DB9"/>
    <w:rsid w:val="060B7677"/>
    <w:rsid w:val="061A5313"/>
    <w:rsid w:val="061A69EE"/>
    <w:rsid w:val="0641548F"/>
    <w:rsid w:val="06492AAF"/>
    <w:rsid w:val="0671338F"/>
    <w:rsid w:val="06742E8C"/>
    <w:rsid w:val="0698417D"/>
    <w:rsid w:val="069D2949"/>
    <w:rsid w:val="06C40896"/>
    <w:rsid w:val="06CD6568"/>
    <w:rsid w:val="06D946F5"/>
    <w:rsid w:val="06FE7FDB"/>
    <w:rsid w:val="070754CD"/>
    <w:rsid w:val="072E7F81"/>
    <w:rsid w:val="0734625B"/>
    <w:rsid w:val="07351825"/>
    <w:rsid w:val="07975E0D"/>
    <w:rsid w:val="07FA29C5"/>
    <w:rsid w:val="0806057A"/>
    <w:rsid w:val="084A2556"/>
    <w:rsid w:val="087255D0"/>
    <w:rsid w:val="088E4584"/>
    <w:rsid w:val="08A477F9"/>
    <w:rsid w:val="08D02C41"/>
    <w:rsid w:val="08E73A74"/>
    <w:rsid w:val="08E73F86"/>
    <w:rsid w:val="08F45AE2"/>
    <w:rsid w:val="094216B7"/>
    <w:rsid w:val="094F3B76"/>
    <w:rsid w:val="09B01B12"/>
    <w:rsid w:val="09C00431"/>
    <w:rsid w:val="09C02BBF"/>
    <w:rsid w:val="09D62DC2"/>
    <w:rsid w:val="09DD5F7E"/>
    <w:rsid w:val="0AA76BBF"/>
    <w:rsid w:val="0ABA3196"/>
    <w:rsid w:val="0ABD67A5"/>
    <w:rsid w:val="0AC74C67"/>
    <w:rsid w:val="0AEC4C33"/>
    <w:rsid w:val="0AF81F7D"/>
    <w:rsid w:val="0AF9651E"/>
    <w:rsid w:val="0B035D76"/>
    <w:rsid w:val="0B0D72DF"/>
    <w:rsid w:val="0B532916"/>
    <w:rsid w:val="0BA71F9F"/>
    <w:rsid w:val="0BC24B89"/>
    <w:rsid w:val="0BF608EB"/>
    <w:rsid w:val="0D3614D2"/>
    <w:rsid w:val="0D4A190D"/>
    <w:rsid w:val="0D4E23A3"/>
    <w:rsid w:val="0D871014"/>
    <w:rsid w:val="0D9A18D0"/>
    <w:rsid w:val="0DD0188F"/>
    <w:rsid w:val="0DE0505C"/>
    <w:rsid w:val="0E264CC8"/>
    <w:rsid w:val="0E6B3D1C"/>
    <w:rsid w:val="0E74349E"/>
    <w:rsid w:val="0E7E64AC"/>
    <w:rsid w:val="0E865C18"/>
    <w:rsid w:val="0E9374EA"/>
    <w:rsid w:val="0EB94892"/>
    <w:rsid w:val="0F012471"/>
    <w:rsid w:val="0F09353F"/>
    <w:rsid w:val="0F2E2D2F"/>
    <w:rsid w:val="0F380138"/>
    <w:rsid w:val="0F4C40F9"/>
    <w:rsid w:val="0F571F81"/>
    <w:rsid w:val="0F5F7948"/>
    <w:rsid w:val="0F991079"/>
    <w:rsid w:val="0FA13584"/>
    <w:rsid w:val="100573B4"/>
    <w:rsid w:val="10BE71C3"/>
    <w:rsid w:val="10F61CD8"/>
    <w:rsid w:val="10FB4A31"/>
    <w:rsid w:val="11337EFB"/>
    <w:rsid w:val="115713ED"/>
    <w:rsid w:val="11600A16"/>
    <w:rsid w:val="11761878"/>
    <w:rsid w:val="118A635C"/>
    <w:rsid w:val="11D34FC9"/>
    <w:rsid w:val="124203BC"/>
    <w:rsid w:val="12456039"/>
    <w:rsid w:val="12606FE4"/>
    <w:rsid w:val="12F533CD"/>
    <w:rsid w:val="12F66907"/>
    <w:rsid w:val="13095F67"/>
    <w:rsid w:val="130A6356"/>
    <w:rsid w:val="132066F4"/>
    <w:rsid w:val="134637F3"/>
    <w:rsid w:val="1360576D"/>
    <w:rsid w:val="137463DF"/>
    <w:rsid w:val="13BD2FCB"/>
    <w:rsid w:val="13CA4309"/>
    <w:rsid w:val="13D45D4F"/>
    <w:rsid w:val="13E14360"/>
    <w:rsid w:val="13F23E78"/>
    <w:rsid w:val="1426405A"/>
    <w:rsid w:val="14417EA0"/>
    <w:rsid w:val="14481B6D"/>
    <w:rsid w:val="14A54640"/>
    <w:rsid w:val="14E52296"/>
    <w:rsid w:val="153D19BB"/>
    <w:rsid w:val="15537400"/>
    <w:rsid w:val="15562652"/>
    <w:rsid w:val="1583223F"/>
    <w:rsid w:val="15900D80"/>
    <w:rsid w:val="159551AC"/>
    <w:rsid w:val="15A54DA6"/>
    <w:rsid w:val="15A922FB"/>
    <w:rsid w:val="15AC6FAE"/>
    <w:rsid w:val="15BF72E6"/>
    <w:rsid w:val="15D321B5"/>
    <w:rsid w:val="15D64F91"/>
    <w:rsid w:val="15D92473"/>
    <w:rsid w:val="15F546BA"/>
    <w:rsid w:val="15FF414E"/>
    <w:rsid w:val="160E5BA4"/>
    <w:rsid w:val="16595AD6"/>
    <w:rsid w:val="165D02EF"/>
    <w:rsid w:val="166E3243"/>
    <w:rsid w:val="168B794A"/>
    <w:rsid w:val="1690726E"/>
    <w:rsid w:val="16B35A36"/>
    <w:rsid w:val="16D1158E"/>
    <w:rsid w:val="16FF48BD"/>
    <w:rsid w:val="17183CCA"/>
    <w:rsid w:val="174428E9"/>
    <w:rsid w:val="17452200"/>
    <w:rsid w:val="176420E2"/>
    <w:rsid w:val="178B74E4"/>
    <w:rsid w:val="17992837"/>
    <w:rsid w:val="17BB7C5F"/>
    <w:rsid w:val="18127246"/>
    <w:rsid w:val="18376C5B"/>
    <w:rsid w:val="183C749A"/>
    <w:rsid w:val="18527289"/>
    <w:rsid w:val="185E77BE"/>
    <w:rsid w:val="187472F0"/>
    <w:rsid w:val="18A81BCE"/>
    <w:rsid w:val="18BB49A9"/>
    <w:rsid w:val="18BD7907"/>
    <w:rsid w:val="19181D00"/>
    <w:rsid w:val="19370A73"/>
    <w:rsid w:val="19AC6797"/>
    <w:rsid w:val="19FE3D52"/>
    <w:rsid w:val="1A182E22"/>
    <w:rsid w:val="1A680331"/>
    <w:rsid w:val="1A7C2890"/>
    <w:rsid w:val="1AA846CB"/>
    <w:rsid w:val="1AA8733D"/>
    <w:rsid w:val="1B0051DB"/>
    <w:rsid w:val="1B1D327A"/>
    <w:rsid w:val="1B324FB0"/>
    <w:rsid w:val="1B5653C7"/>
    <w:rsid w:val="1B807109"/>
    <w:rsid w:val="1B975ED5"/>
    <w:rsid w:val="1BAF2B27"/>
    <w:rsid w:val="1C0A6142"/>
    <w:rsid w:val="1C594598"/>
    <w:rsid w:val="1C7976A4"/>
    <w:rsid w:val="1C8735BD"/>
    <w:rsid w:val="1D0B0A16"/>
    <w:rsid w:val="1D3212A4"/>
    <w:rsid w:val="1D650CC3"/>
    <w:rsid w:val="1DF36F10"/>
    <w:rsid w:val="1E1A3914"/>
    <w:rsid w:val="1E5B735D"/>
    <w:rsid w:val="1EBE11B1"/>
    <w:rsid w:val="1EC63D7C"/>
    <w:rsid w:val="1EE13120"/>
    <w:rsid w:val="1EEC1248"/>
    <w:rsid w:val="1EF24A99"/>
    <w:rsid w:val="1F145E2D"/>
    <w:rsid w:val="1F4D61EB"/>
    <w:rsid w:val="1F9A6A11"/>
    <w:rsid w:val="1FD41E96"/>
    <w:rsid w:val="1FFC1DC4"/>
    <w:rsid w:val="207E6C00"/>
    <w:rsid w:val="20831983"/>
    <w:rsid w:val="20A0176D"/>
    <w:rsid w:val="20B2740F"/>
    <w:rsid w:val="21396CB8"/>
    <w:rsid w:val="21AA7CA6"/>
    <w:rsid w:val="21AB708E"/>
    <w:rsid w:val="21FF2B6B"/>
    <w:rsid w:val="228A73C5"/>
    <w:rsid w:val="22992535"/>
    <w:rsid w:val="22B15D07"/>
    <w:rsid w:val="22CB67CE"/>
    <w:rsid w:val="22DF7DFC"/>
    <w:rsid w:val="22E40D2F"/>
    <w:rsid w:val="23121934"/>
    <w:rsid w:val="231F7FF3"/>
    <w:rsid w:val="232A5AF9"/>
    <w:rsid w:val="238555C9"/>
    <w:rsid w:val="23A32375"/>
    <w:rsid w:val="23C522A4"/>
    <w:rsid w:val="245501C2"/>
    <w:rsid w:val="249A1EB1"/>
    <w:rsid w:val="24E07E36"/>
    <w:rsid w:val="25027CEC"/>
    <w:rsid w:val="251A47DB"/>
    <w:rsid w:val="258D01A9"/>
    <w:rsid w:val="25B52C71"/>
    <w:rsid w:val="25D474A1"/>
    <w:rsid w:val="25E01AE5"/>
    <w:rsid w:val="260C0C73"/>
    <w:rsid w:val="263458F1"/>
    <w:rsid w:val="265B10B1"/>
    <w:rsid w:val="26AF4890"/>
    <w:rsid w:val="26C679EB"/>
    <w:rsid w:val="27240F9C"/>
    <w:rsid w:val="272B664F"/>
    <w:rsid w:val="272D09AF"/>
    <w:rsid w:val="27862223"/>
    <w:rsid w:val="27B91633"/>
    <w:rsid w:val="27BE4B44"/>
    <w:rsid w:val="27D0173F"/>
    <w:rsid w:val="27DD18F1"/>
    <w:rsid w:val="28163B2C"/>
    <w:rsid w:val="281B2B80"/>
    <w:rsid w:val="28227A69"/>
    <w:rsid w:val="28DC66D6"/>
    <w:rsid w:val="28E6016C"/>
    <w:rsid w:val="28E61363"/>
    <w:rsid w:val="28F81A01"/>
    <w:rsid w:val="293C4340"/>
    <w:rsid w:val="29630D60"/>
    <w:rsid w:val="299261A8"/>
    <w:rsid w:val="29976826"/>
    <w:rsid w:val="2A447D96"/>
    <w:rsid w:val="2AA22547"/>
    <w:rsid w:val="2AA27CAB"/>
    <w:rsid w:val="2B0651FF"/>
    <w:rsid w:val="2B8E3855"/>
    <w:rsid w:val="2B942C10"/>
    <w:rsid w:val="2BBE7D2C"/>
    <w:rsid w:val="2BD41345"/>
    <w:rsid w:val="2BEE5854"/>
    <w:rsid w:val="2C897AD5"/>
    <w:rsid w:val="2CBD4227"/>
    <w:rsid w:val="2D1F1FF1"/>
    <w:rsid w:val="2D266524"/>
    <w:rsid w:val="2D2C75CF"/>
    <w:rsid w:val="2D4C2D0F"/>
    <w:rsid w:val="2D8C25BE"/>
    <w:rsid w:val="2DD90901"/>
    <w:rsid w:val="2E3F6FF1"/>
    <w:rsid w:val="2E4E27CA"/>
    <w:rsid w:val="2E5D0DE4"/>
    <w:rsid w:val="2EBA6468"/>
    <w:rsid w:val="2ED647A7"/>
    <w:rsid w:val="2ED6546B"/>
    <w:rsid w:val="2ED96FE6"/>
    <w:rsid w:val="2EE96EDE"/>
    <w:rsid w:val="2EFD6C01"/>
    <w:rsid w:val="2F1E329D"/>
    <w:rsid w:val="2F4F3840"/>
    <w:rsid w:val="2F9D42C1"/>
    <w:rsid w:val="2FA616B9"/>
    <w:rsid w:val="2FA874B2"/>
    <w:rsid w:val="2FEF61B9"/>
    <w:rsid w:val="2FF61B1F"/>
    <w:rsid w:val="303E7739"/>
    <w:rsid w:val="30544032"/>
    <w:rsid w:val="30623857"/>
    <w:rsid w:val="307562FE"/>
    <w:rsid w:val="308512F4"/>
    <w:rsid w:val="308835B0"/>
    <w:rsid w:val="30A17FDC"/>
    <w:rsid w:val="30C1111D"/>
    <w:rsid w:val="30F811AB"/>
    <w:rsid w:val="312253DC"/>
    <w:rsid w:val="313E40CB"/>
    <w:rsid w:val="316257D1"/>
    <w:rsid w:val="3186794B"/>
    <w:rsid w:val="318F0C07"/>
    <w:rsid w:val="31E871BF"/>
    <w:rsid w:val="31EC42D3"/>
    <w:rsid w:val="31F01E96"/>
    <w:rsid w:val="320870E0"/>
    <w:rsid w:val="3210025C"/>
    <w:rsid w:val="321466A7"/>
    <w:rsid w:val="32352F48"/>
    <w:rsid w:val="3246521D"/>
    <w:rsid w:val="3297664C"/>
    <w:rsid w:val="32B86216"/>
    <w:rsid w:val="32BF1CD9"/>
    <w:rsid w:val="32D6021D"/>
    <w:rsid w:val="33456D0A"/>
    <w:rsid w:val="334B2D3B"/>
    <w:rsid w:val="334C77CF"/>
    <w:rsid w:val="33563FC4"/>
    <w:rsid w:val="335E5AD0"/>
    <w:rsid w:val="33C375AD"/>
    <w:rsid w:val="33ED4BAD"/>
    <w:rsid w:val="34460C91"/>
    <w:rsid w:val="344F318A"/>
    <w:rsid w:val="345676E2"/>
    <w:rsid w:val="345C691A"/>
    <w:rsid w:val="345E214B"/>
    <w:rsid w:val="34AD087C"/>
    <w:rsid w:val="34BD1D33"/>
    <w:rsid w:val="34CD2EB2"/>
    <w:rsid w:val="34FE33DD"/>
    <w:rsid w:val="35293D5E"/>
    <w:rsid w:val="35990549"/>
    <w:rsid w:val="35A220ED"/>
    <w:rsid w:val="35BF24A4"/>
    <w:rsid w:val="35DC2BCB"/>
    <w:rsid w:val="35E60492"/>
    <w:rsid w:val="36030421"/>
    <w:rsid w:val="3621189E"/>
    <w:rsid w:val="3631763C"/>
    <w:rsid w:val="36405BAA"/>
    <w:rsid w:val="36837E96"/>
    <w:rsid w:val="368F60DB"/>
    <w:rsid w:val="36C74C41"/>
    <w:rsid w:val="36D26E85"/>
    <w:rsid w:val="36E81D5E"/>
    <w:rsid w:val="36EA141E"/>
    <w:rsid w:val="36EB3410"/>
    <w:rsid w:val="36F06DBF"/>
    <w:rsid w:val="373311E8"/>
    <w:rsid w:val="3772137C"/>
    <w:rsid w:val="378A0234"/>
    <w:rsid w:val="379F2C44"/>
    <w:rsid w:val="380D2B38"/>
    <w:rsid w:val="383F0F87"/>
    <w:rsid w:val="38504241"/>
    <w:rsid w:val="387C43FD"/>
    <w:rsid w:val="387D7DFF"/>
    <w:rsid w:val="38982704"/>
    <w:rsid w:val="38AD14DD"/>
    <w:rsid w:val="38DB08A3"/>
    <w:rsid w:val="39550A9F"/>
    <w:rsid w:val="3971511E"/>
    <w:rsid w:val="397C2D3D"/>
    <w:rsid w:val="39AF4AF7"/>
    <w:rsid w:val="39B85181"/>
    <w:rsid w:val="39E25B2E"/>
    <w:rsid w:val="39FA0457"/>
    <w:rsid w:val="39FA6C16"/>
    <w:rsid w:val="3A060D37"/>
    <w:rsid w:val="3A815CFC"/>
    <w:rsid w:val="3ADC246A"/>
    <w:rsid w:val="3AE8609C"/>
    <w:rsid w:val="3B502CC1"/>
    <w:rsid w:val="3B516760"/>
    <w:rsid w:val="3B563DB1"/>
    <w:rsid w:val="3B6E6EB4"/>
    <w:rsid w:val="3B6F005A"/>
    <w:rsid w:val="3B923D9D"/>
    <w:rsid w:val="3BB448C9"/>
    <w:rsid w:val="3BC85CF3"/>
    <w:rsid w:val="3C2A6487"/>
    <w:rsid w:val="3C5735CB"/>
    <w:rsid w:val="3C8A3F43"/>
    <w:rsid w:val="3CFE08DB"/>
    <w:rsid w:val="3D690B94"/>
    <w:rsid w:val="3D7A7192"/>
    <w:rsid w:val="3DB138D5"/>
    <w:rsid w:val="3DB40E70"/>
    <w:rsid w:val="3E2E0A25"/>
    <w:rsid w:val="3E3B24BF"/>
    <w:rsid w:val="3E64265A"/>
    <w:rsid w:val="3E6C3FAF"/>
    <w:rsid w:val="3E8E0FDF"/>
    <w:rsid w:val="3E93172F"/>
    <w:rsid w:val="3EA51E2C"/>
    <w:rsid w:val="3EAC040D"/>
    <w:rsid w:val="3EF34B07"/>
    <w:rsid w:val="3F72094D"/>
    <w:rsid w:val="3FAD777A"/>
    <w:rsid w:val="3FC52740"/>
    <w:rsid w:val="3FD1085F"/>
    <w:rsid w:val="3FF13A3F"/>
    <w:rsid w:val="40117EB2"/>
    <w:rsid w:val="401A03CE"/>
    <w:rsid w:val="406075D2"/>
    <w:rsid w:val="406D1780"/>
    <w:rsid w:val="409A1B98"/>
    <w:rsid w:val="40CD6B92"/>
    <w:rsid w:val="411B4824"/>
    <w:rsid w:val="413D5C6F"/>
    <w:rsid w:val="413D73C6"/>
    <w:rsid w:val="4181493C"/>
    <w:rsid w:val="41A22AC3"/>
    <w:rsid w:val="41DE0C28"/>
    <w:rsid w:val="42120A50"/>
    <w:rsid w:val="424625C8"/>
    <w:rsid w:val="426974B2"/>
    <w:rsid w:val="428C0159"/>
    <w:rsid w:val="42950901"/>
    <w:rsid w:val="42C579CC"/>
    <w:rsid w:val="42C62A86"/>
    <w:rsid w:val="42CD5499"/>
    <w:rsid w:val="42EA60E9"/>
    <w:rsid w:val="434314FE"/>
    <w:rsid w:val="435201BE"/>
    <w:rsid w:val="435C52D6"/>
    <w:rsid w:val="43645516"/>
    <w:rsid w:val="437A2C86"/>
    <w:rsid w:val="439C25AD"/>
    <w:rsid w:val="44241DDE"/>
    <w:rsid w:val="44276889"/>
    <w:rsid w:val="44530233"/>
    <w:rsid w:val="44E1632C"/>
    <w:rsid w:val="44EB798A"/>
    <w:rsid w:val="455B32C5"/>
    <w:rsid w:val="45642F6A"/>
    <w:rsid w:val="4580318F"/>
    <w:rsid w:val="45916918"/>
    <w:rsid w:val="459C36BB"/>
    <w:rsid w:val="45FD7292"/>
    <w:rsid w:val="464A26E8"/>
    <w:rsid w:val="464E293A"/>
    <w:rsid w:val="467D0950"/>
    <w:rsid w:val="468519F8"/>
    <w:rsid w:val="469A4E5F"/>
    <w:rsid w:val="470569E4"/>
    <w:rsid w:val="4706752E"/>
    <w:rsid w:val="475E2800"/>
    <w:rsid w:val="47A706EE"/>
    <w:rsid w:val="47DA195B"/>
    <w:rsid w:val="488241AC"/>
    <w:rsid w:val="488A01D5"/>
    <w:rsid w:val="489A5AD0"/>
    <w:rsid w:val="48BC0178"/>
    <w:rsid w:val="48E2348D"/>
    <w:rsid w:val="490B58A7"/>
    <w:rsid w:val="491A0CE2"/>
    <w:rsid w:val="492A3B5A"/>
    <w:rsid w:val="493C077D"/>
    <w:rsid w:val="49490F6C"/>
    <w:rsid w:val="49587306"/>
    <w:rsid w:val="49A9444F"/>
    <w:rsid w:val="49EE28F9"/>
    <w:rsid w:val="4A1242B7"/>
    <w:rsid w:val="4A20103D"/>
    <w:rsid w:val="4A2631E4"/>
    <w:rsid w:val="4A9061CF"/>
    <w:rsid w:val="4A955F53"/>
    <w:rsid w:val="4B024453"/>
    <w:rsid w:val="4B144D40"/>
    <w:rsid w:val="4B230331"/>
    <w:rsid w:val="4B4107D0"/>
    <w:rsid w:val="4B805A5F"/>
    <w:rsid w:val="4B88470B"/>
    <w:rsid w:val="4BC12236"/>
    <w:rsid w:val="4BC3031A"/>
    <w:rsid w:val="4BFD2C74"/>
    <w:rsid w:val="4C234937"/>
    <w:rsid w:val="4C272014"/>
    <w:rsid w:val="4C2B36E5"/>
    <w:rsid w:val="4C7C549B"/>
    <w:rsid w:val="4C9E0B90"/>
    <w:rsid w:val="4CC565C0"/>
    <w:rsid w:val="4D4402F2"/>
    <w:rsid w:val="4D5A71BB"/>
    <w:rsid w:val="4D81453D"/>
    <w:rsid w:val="4D823FF1"/>
    <w:rsid w:val="4DCB1184"/>
    <w:rsid w:val="4DDD5294"/>
    <w:rsid w:val="4E1472EE"/>
    <w:rsid w:val="4E33012A"/>
    <w:rsid w:val="4E552608"/>
    <w:rsid w:val="4E68191A"/>
    <w:rsid w:val="4E6B1DD7"/>
    <w:rsid w:val="4E857630"/>
    <w:rsid w:val="4E8F1021"/>
    <w:rsid w:val="4E960D48"/>
    <w:rsid w:val="4EE00DC9"/>
    <w:rsid w:val="4EE707FB"/>
    <w:rsid w:val="4F002168"/>
    <w:rsid w:val="4F3E18B2"/>
    <w:rsid w:val="4FB17A29"/>
    <w:rsid w:val="503150E3"/>
    <w:rsid w:val="50836079"/>
    <w:rsid w:val="509171DA"/>
    <w:rsid w:val="50CB4649"/>
    <w:rsid w:val="51057F79"/>
    <w:rsid w:val="51475CC0"/>
    <w:rsid w:val="514D59E0"/>
    <w:rsid w:val="51694330"/>
    <w:rsid w:val="51895191"/>
    <w:rsid w:val="51AF698E"/>
    <w:rsid w:val="51C06621"/>
    <w:rsid w:val="51C23BAD"/>
    <w:rsid w:val="51DD319C"/>
    <w:rsid w:val="520F6D93"/>
    <w:rsid w:val="52252EBD"/>
    <w:rsid w:val="529B6F98"/>
    <w:rsid w:val="52A66C49"/>
    <w:rsid w:val="52B63145"/>
    <w:rsid w:val="52BB1F28"/>
    <w:rsid w:val="52E71FB4"/>
    <w:rsid w:val="53AE5964"/>
    <w:rsid w:val="53B54782"/>
    <w:rsid w:val="54494545"/>
    <w:rsid w:val="547B4879"/>
    <w:rsid w:val="54AA0A30"/>
    <w:rsid w:val="54CB7EA9"/>
    <w:rsid w:val="54DE3031"/>
    <w:rsid w:val="558D62F1"/>
    <w:rsid w:val="559270E0"/>
    <w:rsid w:val="55EB77C0"/>
    <w:rsid w:val="562F0357"/>
    <w:rsid w:val="564F69B6"/>
    <w:rsid w:val="565054D2"/>
    <w:rsid w:val="566E1BF3"/>
    <w:rsid w:val="569F775B"/>
    <w:rsid w:val="571D05A3"/>
    <w:rsid w:val="57303A7C"/>
    <w:rsid w:val="57481A8E"/>
    <w:rsid w:val="57841A3E"/>
    <w:rsid w:val="57900D67"/>
    <w:rsid w:val="57B01E54"/>
    <w:rsid w:val="57BD74D7"/>
    <w:rsid w:val="57C9376B"/>
    <w:rsid w:val="58337254"/>
    <w:rsid w:val="58836EBC"/>
    <w:rsid w:val="58B1460B"/>
    <w:rsid w:val="58D63927"/>
    <w:rsid w:val="58E00C77"/>
    <w:rsid w:val="58F0210A"/>
    <w:rsid w:val="59526204"/>
    <w:rsid w:val="59AD0C40"/>
    <w:rsid w:val="59AD1538"/>
    <w:rsid w:val="59AE2D44"/>
    <w:rsid w:val="59C23FD3"/>
    <w:rsid w:val="5A0B5E95"/>
    <w:rsid w:val="5A246F57"/>
    <w:rsid w:val="5A377F44"/>
    <w:rsid w:val="5A4A1367"/>
    <w:rsid w:val="5A742D4C"/>
    <w:rsid w:val="5AC67A75"/>
    <w:rsid w:val="5ACA6272"/>
    <w:rsid w:val="5AF00B1A"/>
    <w:rsid w:val="5AF95A23"/>
    <w:rsid w:val="5B1E2703"/>
    <w:rsid w:val="5B4E0B38"/>
    <w:rsid w:val="5B5E75EC"/>
    <w:rsid w:val="5B9613B7"/>
    <w:rsid w:val="5BCB44AB"/>
    <w:rsid w:val="5BE96D14"/>
    <w:rsid w:val="5BEA5198"/>
    <w:rsid w:val="5BF13CF3"/>
    <w:rsid w:val="5BF52B4B"/>
    <w:rsid w:val="5C2B273D"/>
    <w:rsid w:val="5C4577C3"/>
    <w:rsid w:val="5C8C55D5"/>
    <w:rsid w:val="5C9536D3"/>
    <w:rsid w:val="5CBF18BC"/>
    <w:rsid w:val="5CD46209"/>
    <w:rsid w:val="5CEA0ADF"/>
    <w:rsid w:val="5CF07939"/>
    <w:rsid w:val="5D1F0F34"/>
    <w:rsid w:val="5D2802F3"/>
    <w:rsid w:val="5D80343C"/>
    <w:rsid w:val="5D850726"/>
    <w:rsid w:val="5DDE5F76"/>
    <w:rsid w:val="5E022EA9"/>
    <w:rsid w:val="5E164D40"/>
    <w:rsid w:val="5E183330"/>
    <w:rsid w:val="5E817AAC"/>
    <w:rsid w:val="5E963F99"/>
    <w:rsid w:val="5EA1196F"/>
    <w:rsid w:val="5EBA0F5F"/>
    <w:rsid w:val="5EE630D1"/>
    <w:rsid w:val="5EEA4CD2"/>
    <w:rsid w:val="5F046F44"/>
    <w:rsid w:val="5F1F06B8"/>
    <w:rsid w:val="5F3B07DD"/>
    <w:rsid w:val="5F4F7A12"/>
    <w:rsid w:val="5F9C495E"/>
    <w:rsid w:val="5FCA2AA7"/>
    <w:rsid w:val="604C5FB7"/>
    <w:rsid w:val="60A239C9"/>
    <w:rsid w:val="60CB5549"/>
    <w:rsid w:val="60FA6D79"/>
    <w:rsid w:val="610A150D"/>
    <w:rsid w:val="61175A8E"/>
    <w:rsid w:val="613A17BA"/>
    <w:rsid w:val="61577614"/>
    <w:rsid w:val="617F1A46"/>
    <w:rsid w:val="620F2C00"/>
    <w:rsid w:val="62184B39"/>
    <w:rsid w:val="622007D5"/>
    <w:rsid w:val="626D1426"/>
    <w:rsid w:val="629B121C"/>
    <w:rsid w:val="62C74C67"/>
    <w:rsid w:val="6315261B"/>
    <w:rsid w:val="63272BF8"/>
    <w:rsid w:val="637558D0"/>
    <w:rsid w:val="637B5306"/>
    <w:rsid w:val="63851CFD"/>
    <w:rsid w:val="63923636"/>
    <w:rsid w:val="63B12810"/>
    <w:rsid w:val="63C21113"/>
    <w:rsid w:val="63D85715"/>
    <w:rsid w:val="63FE0FD3"/>
    <w:rsid w:val="643D7B82"/>
    <w:rsid w:val="64806028"/>
    <w:rsid w:val="64CF2277"/>
    <w:rsid w:val="64F73439"/>
    <w:rsid w:val="650802E3"/>
    <w:rsid w:val="6530763D"/>
    <w:rsid w:val="6531024B"/>
    <w:rsid w:val="65506B03"/>
    <w:rsid w:val="657E3736"/>
    <w:rsid w:val="66257BD6"/>
    <w:rsid w:val="667C7C00"/>
    <w:rsid w:val="668E1C3C"/>
    <w:rsid w:val="66E84324"/>
    <w:rsid w:val="66F44120"/>
    <w:rsid w:val="67321F44"/>
    <w:rsid w:val="67390939"/>
    <w:rsid w:val="676C2CBF"/>
    <w:rsid w:val="67C046AA"/>
    <w:rsid w:val="68791231"/>
    <w:rsid w:val="68812F96"/>
    <w:rsid w:val="688A1D55"/>
    <w:rsid w:val="68BF756D"/>
    <w:rsid w:val="68CE27BB"/>
    <w:rsid w:val="68E56882"/>
    <w:rsid w:val="68F84167"/>
    <w:rsid w:val="691F09A3"/>
    <w:rsid w:val="694A2AD0"/>
    <w:rsid w:val="69500604"/>
    <w:rsid w:val="696D08E0"/>
    <w:rsid w:val="69C15A14"/>
    <w:rsid w:val="69CC2B0F"/>
    <w:rsid w:val="69D82D07"/>
    <w:rsid w:val="6A8848D8"/>
    <w:rsid w:val="6A9D190B"/>
    <w:rsid w:val="6AC10B58"/>
    <w:rsid w:val="6AC41799"/>
    <w:rsid w:val="6B8954B5"/>
    <w:rsid w:val="6BAE42B9"/>
    <w:rsid w:val="6BBD214F"/>
    <w:rsid w:val="6BDF5F4E"/>
    <w:rsid w:val="6BED58AF"/>
    <w:rsid w:val="6C50014D"/>
    <w:rsid w:val="6C597288"/>
    <w:rsid w:val="6C612D7E"/>
    <w:rsid w:val="6C7102D6"/>
    <w:rsid w:val="6C9D1BCF"/>
    <w:rsid w:val="6CA711B8"/>
    <w:rsid w:val="6CC170A1"/>
    <w:rsid w:val="6D125C14"/>
    <w:rsid w:val="6D15265D"/>
    <w:rsid w:val="6D3470DE"/>
    <w:rsid w:val="6D4275F9"/>
    <w:rsid w:val="6D5956B9"/>
    <w:rsid w:val="6D914092"/>
    <w:rsid w:val="6D9B3A9B"/>
    <w:rsid w:val="6E216952"/>
    <w:rsid w:val="6E64393C"/>
    <w:rsid w:val="6E9C4D19"/>
    <w:rsid w:val="6EC1201F"/>
    <w:rsid w:val="6EC13E48"/>
    <w:rsid w:val="6EDC23DD"/>
    <w:rsid w:val="6EF851C4"/>
    <w:rsid w:val="6F0F18E5"/>
    <w:rsid w:val="6F165DBC"/>
    <w:rsid w:val="6F364B5F"/>
    <w:rsid w:val="6F3E4050"/>
    <w:rsid w:val="6F5B5650"/>
    <w:rsid w:val="6F660F70"/>
    <w:rsid w:val="6F77480E"/>
    <w:rsid w:val="6F92795A"/>
    <w:rsid w:val="6FA37BFA"/>
    <w:rsid w:val="6FC619CA"/>
    <w:rsid w:val="70490B05"/>
    <w:rsid w:val="705052FB"/>
    <w:rsid w:val="70674285"/>
    <w:rsid w:val="70AD0488"/>
    <w:rsid w:val="70ED5338"/>
    <w:rsid w:val="70F161A9"/>
    <w:rsid w:val="70F76ABE"/>
    <w:rsid w:val="7105298C"/>
    <w:rsid w:val="71124B9B"/>
    <w:rsid w:val="713E6EBD"/>
    <w:rsid w:val="714063D2"/>
    <w:rsid w:val="714E09F3"/>
    <w:rsid w:val="717362D3"/>
    <w:rsid w:val="71FA1C5E"/>
    <w:rsid w:val="71FB097C"/>
    <w:rsid w:val="720269E3"/>
    <w:rsid w:val="72054BED"/>
    <w:rsid w:val="720B608D"/>
    <w:rsid w:val="72323F70"/>
    <w:rsid w:val="72422A0F"/>
    <w:rsid w:val="72512E1B"/>
    <w:rsid w:val="725D0206"/>
    <w:rsid w:val="729E7714"/>
    <w:rsid w:val="72C46BF7"/>
    <w:rsid w:val="72E05B87"/>
    <w:rsid w:val="72E61144"/>
    <w:rsid w:val="72ED6E2C"/>
    <w:rsid w:val="73A96C48"/>
    <w:rsid w:val="73F6333E"/>
    <w:rsid w:val="743301F6"/>
    <w:rsid w:val="74527DA5"/>
    <w:rsid w:val="745A7BB8"/>
    <w:rsid w:val="748847CC"/>
    <w:rsid w:val="74B007FD"/>
    <w:rsid w:val="74B65E55"/>
    <w:rsid w:val="74B843B3"/>
    <w:rsid w:val="74DA7702"/>
    <w:rsid w:val="75127471"/>
    <w:rsid w:val="751471B8"/>
    <w:rsid w:val="75830833"/>
    <w:rsid w:val="75CC611E"/>
    <w:rsid w:val="75FA352D"/>
    <w:rsid w:val="76027FF4"/>
    <w:rsid w:val="7614349B"/>
    <w:rsid w:val="761502EB"/>
    <w:rsid w:val="761E064F"/>
    <w:rsid w:val="7663600F"/>
    <w:rsid w:val="767D2049"/>
    <w:rsid w:val="768207A5"/>
    <w:rsid w:val="76A2179B"/>
    <w:rsid w:val="76A553DC"/>
    <w:rsid w:val="76D51348"/>
    <w:rsid w:val="76D66050"/>
    <w:rsid w:val="770352EE"/>
    <w:rsid w:val="77565832"/>
    <w:rsid w:val="776E4150"/>
    <w:rsid w:val="77890BDB"/>
    <w:rsid w:val="7793733B"/>
    <w:rsid w:val="77BA414F"/>
    <w:rsid w:val="77D3660D"/>
    <w:rsid w:val="785437D3"/>
    <w:rsid w:val="78565AAF"/>
    <w:rsid w:val="78BE7CBA"/>
    <w:rsid w:val="78C10517"/>
    <w:rsid w:val="78C71CD3"/>
    <w:rsid w:val="78DD3131"/>
    <w:rsid w:val="78E4026D"/>
    <w:rsid w:val="79427878"/>
    <w:rsid w:val="79430348"/>
    <w:rsid w:val="79701A39"/>
    <w:rsid w:val="799975C1"/>
    <w:rsid w:val="79B810F6"/>
    <w:rsid w:val="7A082988"/>
    <w:rsid w:val="7A1C10FB"/>
    <w:rsid w:val="7A286937"/>
    <w:rsid w:val="7A33250D"/>
    <w:rsid w:val="7A424D7F"/>
    <w:rsid w:val="7A4D4FC3"/>
    <w:rsid w:val="7A8A4F36"/>
    <w:rsid w:val="7AB87EDD"/>
    <w:rsid w:val="7ABA7BB0"/>
    <w:rsid w:val="7ABB0624"/>
    <w:rsid w:val="7AC84DC1"/>
    <w:rsid w:val="7AE64B83"/>
    <w:rsid w:val="7AF42850"/>
    <w:rsid w:val="7B002162"/>
    <w:rsid w:val="7B124FB7"/>
    <w:rsid w:val="7B361A8A"/>
    <w:rsid w:val="7B83108A"/>
    <w:rsid w:val="7BAE5A06"/>
    <w:rsid w:val="7BDF1C40"/>
    <w:rsid w:val="7BFE2799"/>
    <w:rsid w:val="7CAB63B7"/>
    <w:rsid w:val="7CB818B8"/>
    <w:rsid w:val="7CD50713"/>
    <w:rsid w:val="7D8C5E76"/>
    <w:rsid w:val="7DA0352B"/>
    <w:rsid w:val="7DB019FA"/>
    <w:rsid w:val="7DCC7103"/>
    <w:rsid w:val="7DDB2B1D"/>
    <w:rsid w:val="7DEC28EC"/>
    <w:rsid w:val="7E44423B"/>
    <w:rsid w:val="7E8D32EE"/>
    <w:rsid w:val="7E8E0310"/>
    <w:rsid w:val="7EBD25E5"/>
    <w:rsid w:val="7EC622B6"/>
    <w:rsid w:val="7EDD2049"/>
    <w:rsid w:val="7F1D5ECC"/>
    <w:rsid w:val="7F3C6DE9"/>
    <w:rsid w:val="7F523215"/>
    <w:rsid w:val="7F8E7BAE"/>
    <w:rsid w:val="7FAC7F22"/>
    <w:rsid w:val="7FAE3944"/>
    <w:rsid w:val="7FE5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763FD40-37B4-43D1-81B8-F9E4AD5E4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Title" w:qFormat="1"/>
    <w:lsdException w:name="Default Paragraph Font" w:semiHidden="1" w:uiPriority="1" w:unhideWhenUsed="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qFormat/>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numPr>
        <w:numId w:val="0"/>
      </w:num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Char0"/>
    <w:qFormat/>
  </w:style>
  <w:style w:type="paragraph" w:styleId="a5">
    <w:name w:val="Body Text"/>
    <w:basedOn w:val="a"/>
    <w:link w:val="Char1"/>
    <w:qFormat/>
    <w:pPr>
      <w:spacing w:after="180" w:line="240" w:lineRule="auto"/>
    </w:pPr>
    <w:rPr>
      <w:rFonts w:ascii="Times New Roman" w:hAnsi="Times New Roman" w:cs="Times New Roman"/>
      <w:sz w:val="20"/>
      <w:szCs w:val="20"/>
      <w:lang w:val="en-GB" w:eastAsia="en-US"/>
    </w:rPr>
  </w:style>
  <w:style w:type="paragraph" w:styleId="a6">
    <w:name w:val="Balloon Text"/>
    <w:basedOn w:val="a"/>
    <w:link w:val="Char2"/>
    <w:qFormat/>
    <w:pPr>
      <w:spacing w:after="0" w:line="240" w:lineRule="auto"/>
    </w:pPr>
    <w:rPr>
      <w:sz w:val="18"/>
      <w:szCs w:val="18"/>
    </w:rPr>
  </w:style>
  <w:style w:type="paragraph" w:styleId="a7">
    <w:name w:val="footer"/>
    <w:basedOn w:val="a"/>
    <w:link w:val="Char3"/>
    <w:qFormat/>
    <w:pPr>
      <w:tabs>
        <w:tab w:val="center" w:pos="4153"/>
        <w:tab w:val="right" w:pos="8306"/>
      </w:tabs>
      <w:snapToGrid w:val="0"/>
      <w:spacing w:line="240" w:lineRule="auto"/>
    </w:pPr>
    <w:rPr>
      <w:sz w:val="18"/>
      <w:szCs w:val="18"/>
    </w:rPr>
  </w:style>
  <w:style w:type="paragraph" w:styleId="a8">
    <w:name w:val="header"/>
    <w:basedOn w:val="a"/>
    <w:link w:val="Char4"/>
    <w:qFormat/>
    <w:pPr>
      <w:pBdr>
        <w:bottom w:val="single" w:sz="6" w:space="1" w:color="auto"/>
      </w:pBdr>
      <w:tabs>
        <w:tab w:val="center" w:pos="4153"/>
        <w:tab w:val="right" w:pos="8306"/>
      </w:tabs>
      <w:snapToGrid w:val="0"/>
      <w:spacing w:line="240" w:lineRule="auto"/>
      <w:jc w:val="center"/>
    </w:pPr>
    <w:rPr>
      <w:sz w:val="18"/>
      <w:szCs w:val="18"/>
    </w:rPr>
  </w:style>
  <w:style w:type="paragraph" w:styleId="a9">
    <w:name w:val="annotation subject"/>
    <w:basedOn w:val="a4"/>
    <w:next w:val="a4"/>
    <w:link w:val="Char5"/>
    <w:qFormat/>
    <w:rPr>
      <w:b/>
      <w:bCs/>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uiPriority w:val="22"/>
    <w:qFormat/>
    <w:rPr>
      <w:b/>
      <w:bCs/>
    </w:rPr>
  </w:style>
  <w:style w:type="character" w:styleId="ac">
    <w:name w:val="annotation reference"/>
    <w:basedOn w:val="a0"/>
    <w:qFormat/>
    <w:rPr>
      <w:sz w:val="21"/>
      <w:szCs w:val="21"/>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character" w:customStyle="1" w:styleId="Char2">
    <w:name w:val="批注框文本 Char"/>
    <w:basedOn w:val="a0"/>
    <w:link w:val="a6"/>
    <w:qFormat/>
    <w:rPr>
      <w:rFonts w:asciiTheme="minorHAnsi" w:eastAsiaTheme="minorEastAsia" w:hAnsiTheme="minorHAnsi" w:cstheme="minorBidi"/>
      <w:sz w:val="18"/>
      <w:szCs w:val="18"/>
    </w:rPr>
  </w:style>
  <w:style w:type="paragraph" w:styleId="ad">
    <w:name w:val="List Paragraph"/>
    <w:basedOn w:val="a"/>
    <w:uiPriority w:val="99"/>
    <w:qFormat/>
    <w:pPr>
      <w:ind w:firstLineChars="200" w:firstLine="420"/>
    </w:pPr>
  </w:style>
  <w:style w:type="character" w:customStyle="1" w:styleId="Char0">
    <w:name w:val="批注文字 Char"/>
    <w:basedOn w:val="a0"/>
    <w:link w:val="a4"/>
    <w:qFormat/>
    <w:rPr>
      <w:rFonts w:asciiTheme="minorHAnsi" w:eastAsiaTheme="minorEastAsia" w:hAnsiTheme="minorHAnsi" w:cstheme="minorBidi"/>
      <w:sz w:val="22"/>
      <w:szCs w:val="22"/>
    </w:rPr>
  </w:style>
  <w:style w:type="character" w:customStyle="1" w:styleId="Char5">
    <w:name w:val="批注主题 Char"/>
    <w:basedOn w:val="Char0"/>
    <w:link w:val="a9"/>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Char4">
    <w:name w:val="页眉 Char"/>
    <w:basedOn w:val="a0"/>
    <w:link w:val="a8"/>
    <w:qFormat/>
    <w:rPr>
      <w:rFonts w:asciiTheme="minorHAnsi" w:eastAsiaTheme="minorEastAsia" w:hAnsiTheme="minorHAnsi" w:cstheme="minorBidi"/>
      <w:sz w:val="18"/>
      <w:szCs w:val="18"/>
    </w:rPr>
  </w:style>
  <w:style w:type="character" w:customStyle="1" w:styleId="Char3">
    <w:name w:val="页脚 Char"/>
    <w:basedOn w:val="a0"/>
    <w:link w:val="a7"/>
    <w:qFormat/>
    <w:rPr>
      <w:rFonts w:asciiTheme="minorHAnsi" w:eastAsiaTheme="minorEastAsia" w:hAnsiTheme="minorHAnsi" w:cstheme="minorBidi"/>
      <w:sz w:val="18"/>
      <w:szCs w:val="18"/>
    </w:rPr>
  </w:style>
  <w:style w:type="character" w:customStyle="1" w:styleId="Char">
    <w:name w:val="题注 Char"/>
    <w:link w:val="a3"/>
    <w:qFormat/>
    <w:rPr>
      <w:rFonts w:eastAsia="宋体"/>
      <w:b/>
      <w:bCs/>
      <w:kern w:val="2"/>
      <w:lang w:val="en-GB"/>
    </w:rPr>
  </w:style>
  <w:style w:type="character" w:customStyle="1" w:styleId="Char1">
    <w:name w:val="正文文本 Char"/>
    <w:basedOn w:val="a0"/>
    <w:link w:val="a5"/>
    <w:qFormat/>
    <w:rPr>
      <w:rFonts w:eastAsiaTheme="minorEastAsia"/>
      <w:lang w:val="en-GB" w:eastAsia="en-US"/>
    </w:rPr>
  </w:style>
  <w:style w:type="paragraph" w:customStyle="1" w:styleId="10">
    <w:name w:val="正文1"/>
    <w:qFormat/>
    <w:pPr>
      <w:spacing w:before="100" w:beforeAutospacing="1" w:after="180"/>
    </w:pPr>
    <w:rPr>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2"/>
      </w:numPr>
    </w:pPr>
  </w:style>
  <w:style w:type="character" w:customStyle="1" w:styleId="2Char">
    <w:name w:val="标题 2 Char"/>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e">
    <w:name w:val="Placeholder Text"/>
    <w:basedOn w:val="a0"/>
    <w:uiPriority w:val="99"/>
    <w:semiHidden/>
    <w:qFormat/>
    <w:rPr>
      <w:color w:val="808080"/>
    </w:rPr>
  </w:style>
  <w:style w:type="paragraph" w:customStyle="1" w:styleId="11">
    <w:name w:val="修订1"/>
    <w:hidden/>
    <w:uiPriority w:val="99"/>
    <w:semiHidden/>
    <w:qFormat/>
    <w:rPr>
      <w:rFonts w:asciiTheme="minorHAnsi" w:eastAsiaTheme="minorEastAsia" w:hAnsiTheme="minorHAnsi" w:cstheme="minorBidi"/>
      <w:sz w:val="22"/>
      <w:szCs w:val="22"/>
    </w:rPr>
  </w:style>
  <w:style w:type="paragraph" w:customStyle="1" w:styleId="20">
    <w:name w:val="修订2"/>
    <w:hidden/>
    <w:uiPriority w:val="99"/>
    <w:semiHidden/>
    <w:qFormat/>
    <w:rPr>
      <w:rFonts w:asciiTheme="minorHAnsi" w:eastAsiaTheme="minorEastAsia" w:hAnsiTheme="minorHAnsi" w:cstheme="minorBidi"/>
      <w:sz w:val="22"/>
      <w:szCs w:val="22"/>
    </w:rPr>
  </w:style>
  <w:style w:type="paragraph" w:customStyle="1" w:styleId="DraftProposal">
    <w:name w:val="Draft Proposal"/>
    <w:basedOn w:val="a"/>
    <w:uiPriority w:val="99"/>
    <w:qFormat/>
    <w:pPr>
      <w:numPr>
        <w:numId w:val="3"/>
      </w:numPr>
      <w:tabs>
        <w:tab w:val="left" w:pos="720"/>
      </w:tabs>
      <w:spacing w:line="252" w:lineRule="auto"/>
      <w:ind w:left="0" w:firstLine="0"/>
    </w:pPr>
    <w:rPr>
      <w:rFonts w:ascii="Arial" w:eastAsia="Calibri" w:hAnsi="Arial" w:cs="Arial"/>
      <w:b/>
      <w:bCs/>
    </w:rPr>
  </w:style>
  <w:style w:type="paragraph" w:customStyle="1" w:styleId="Doc-text2">
    <w:name w:val="Doc-text2"/>
    <w:basedOn w:val="a"/>
    <w:qFormat/>
    <w:pPr>
      <w:tabs>
        <w:tab w:val="left" w:pos="1622"/>
      </w:tabs>
      <w:ind w:left="1622" w:hanging="363"/>
    </w:pPr>
    <w:rPr>
      <w:rFonts w:ascii="Arial" w:eastAsia="MS Mincho"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10.bin"/><Relationship Id="rId42" Type="http://schemas.openxmlformats.org/officeDocument/2006/relationships/oleObject" Target="embeddings/oleObject23.bin"/><Relationship Id="rId47" Type="http://schemas.openxmlformats.org/officeDocument/2006/relationships/oleObject" Target="embeddings/oleObject28.bin"/><Relationship Id="rId63" Type="http://schemas.openxmlformats.org/officeDocument/2006/relationships/image" Target="media/image20.wmf"/><Relationship Id="rId68" Type="http://schemas.openxmlformats.org/officeDocument/2006/relationships/oleObject" Target="embeddings/oleObject40.bin"/><Relationship Id="rId84" Type="http://schemas.openxmlformats.org/officeDocument/2006/relationships/image" Target="media/image25.png"/><Relationship Id="rId16" Type="http://schemas.openxmlformats.org/officeDocument/2006/relationships/oleObject" Target="embeddings/oleObject6.bin"/><Relationship Id="rId11" Type="http://schemas.openxmlformats.org/officeDocument/2006/relationships/oleObject" Target="embeddings/oleObject2.bin"/><Relationship Id="rId32" Type="http://schemas.openxmlformats.org/officeDocument/2006/relationships/image" Target="media/image10.wmf"/><Relationship Id="rId37" Type="http://schemas.openxmlformats.org/officeDocument/2006/relationships/oleObject" Target="embeddings/oleObject19.bin"/><Relationship Id="rId53" Type="http://schemas.openxmlformats.org/officeDocument/2006/relationships/image" Target="media/image16.wmf"/><Relationship Id="rId58" Type="http://schemas.openxmlformats.org/officeDocument/2006/relationships/image" Target="media/image18.wmf"/><Relationship Id="rId74" Type="http://schemas.openxmlformats.org/officeDocument/2006/relationships/image" Target="media/image24.png"/><Relationship Id="rId79" Type="http://schemas.openxmlformats.org/officeDocument/2006/relationships/oleObject" Target="embeddings/oleObject49.bin"/><Relationship Id="rId5" Type="http://schemas.openxmlformats.org/officeDocument/2006/relationships/settings" Target="settings.xml"/><Relationship Id="rId19" Type="http://schemas.openxmlformats.org/officeDocument/2006/relationships/oleObject" Target="embeddings/oleObject9.bin"/><Relationship Id="rId14" Type="http://schemas.openxmlformats.org/officeDocument/2006/relationships/oleObject" Target="embeddings/oleObject4.bin"/><Relationship Id="rId22" Type="http://schemas.openxmlformats.org/officeDocument/2006/relationships/image" Target="media/image6.wmf"/><Relationship Id="rId27" Type="http://schemas.openxmlformats.org/officeDocument/2006/relationships/oleObject" Target="embeddings/oleObject13.bin"/><Relationship Id="rId30" Type="http://schemas.openxmlformats.org/officeDocument/2006/relationships/oleObject" Target="embeddings/oleObject15.bin"/><Relationship Id="rId35" Type="http://schemas.openxmlformats.org/officeDocument/2006/relationships/image" Target="media/image11.png"/><Relationship Id="rId43" Type="http://schemas.openxmlformats.org/officeDocument/2006/relationships/oleObject" Target="embeddings/oleObject24.bin"/><Relationship Id="rId48" Type="http://schemas.openxmlformats.org/officeDocument/2006/relationships/image" Target="media/image14.png"/><Relationship Id="rId56" Type="http://schemas.openxmlformats.org/officeDocument/2006/relationships/image" Target="media/image17.wmf"/><Relationship Id="rId64" Type="http://schemas.openxmlformats.org/officeDocument/2006/relationships/oleObject" Target="embeddings/oleObject38.bin"/><Relationship Id="rId69" Type="http://schemas.openxmlformats.org/officeDocument/2006/relationships/oleObject" Target="embeddings/oleObject41.bin"/><Relationship Id="rId77" Type="http://schemas.openxmlformats.org/officeDocument/2006/relationships/oleObject" Target="embeddings/oleObject47.bin"/><Relationship Id="rId8" Type="http://schemas.openxmlformats.org/officeDocument/2006/relationships/image" Target="media/image2.wmf"/><Relationship Id="rId51" Type="http://schemas.openxmlformats.org/officeDocument/2006/relationships/image" Target="media/image15.wmf"/><Relationship Id="rId72" Type="http://schemas.openxmlformats.org/officeDocument/2006/relationships/oleObject" Target="embeddings/oleObject43.bin"/><Relationship Id="rId80" Type="http://schemas.openxmlformats.org/officeDocument/2006/relationships/oleObject" Target="embeddings/oleObject50.bin"/><Relationship Id="rId85" Type="http://schemas.openxmlformats.org/officeDocument/2006/relationships/image" Target="media/image26.wmf"/><Relationship Id="rId3" Type="http://schemas.openxmlformats.org/officeDocument/2006/relationships/numbering" Target="numbering.xml"/><Relationship Id="rId12" Type="http://schemas.openxmlformats.org/officeDocument/2006/relationships/image" Target="media/image4.wmf"/><Relationship Id="rId17" Type="http://schemas.openxmlformats.org/officeDocument/2006/relationships/oleObject" Target="embeddings/oleObject7.bin"/><Relationship Id="rId25" Type="http://schemas.openxmlformats.org/officeDocument/2006/relationships/oleObject" Target="embeddings/oleObject12.bin"/><Relationship Id="rId33" Type="http://schemas.openxmlformats.org/officeDocument/2006/relationships/oleObject" Target="embeddings/oleObject17.bin"/><Relationship Id="rId38" Type="http://schemas.openxmlformats.org/officeDocument/2006/relationships/image" Target="media/image13.wmf"/><Relationship Id="rId46" Type="http://schemas.openxmlformats.org/officeDocument/2006/relationships/oleObject" Target="embeddings/oleObject27.bin"/><Relationship Id="rId59" Type="http://schemas.openxmlformats.org/officeDocument/2006/relationships/oleObject" Target="embeddings/oleObject35.bin"/><Relationship Id="rId67" Type="http://schemas.openxmlformats.org/officeDocument/2006/relationships/image" Target="media/image22.wmf"/><Relationship Id="rId20" Type="http://schemas.openxmlformats.org/officeDocument/2006/relationships/image" Target="media/image5.wmf"/><Relationship Id="rId41" Type="http://schemas.openxmlformats.org/officeDocument/2006/relationships/oleObject" Target="embeddings/oleObject22.bin"/><Relationship Id="rId54" Type="http://schemas.openxmlformats.org/officeDocument/2006/relationships/oleObject" Target="embeddings/oleObject32.bin"/><Relationship Id="rId62" Type="http://schemas.openxmlformats.org/officeDocument/2006/relationships/oleObject" Target="embeddings/oleObject37.bin"/><Relationship Id="rId70" Type="http://schemas.openxmlformats.org/officeDocument/2006/relationships/image" Target="media/image23.wmf"/><Relationship Id="rId75" Type="http://schemas.openxmlformats.org/officeDocument/2006/relationships/oleObject" Target="embeddings/oleObject45.bin"/><Relationship Id="rId83" Type="http://schemas.openxmlformats.org/officeDocument/2006/relationships/oleObject" Target="embeddings/oleObject53.bin"/><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1.bin"/><Relationship Id="rId28" Type="http://schemas.openxmlformats.org/officeDocument/2006/relationships/oleObject" Target="embeddings/oleObject14.bin"/><Relationship Id="rId36" Type="http://schemas.openxmlformats.org/officeDocument/2006/relationships/image" Target="media/image12.wmf"/><Relationship Id="rId49" Type="http://schemas.openxmlformats.org/officeDocument/2006/relationships/oleObject" Target="embeddings/oleObject29.bin"/><Relationship Id="rId57" Type="http://schemas.openxmlformats.org/officeDocument/2006/relationships/oleObject" Target="embeddings/oleObject34.bin"/><Relationship Id="rId10" Type="http://schemas.openxmlformats.org/officeDocument/2006/relationships/image" Target="media/image3.wmf"/><Relationship Id="rId31" Type="http://schemas.openxmlformats.org/officeDocument/2006/relationships/oleObject" Target="embeddings/oleObject16.bin"/><Relationship Id="rId44" Type="http://schemas.openxmlformats.org/officeDocument/2006/relationships/oleObject" Target="embeddings/oleObject25.bin"/><Relationship Id="rId52" Type="http://schemas.openxmlformats.org/officeDocument/2006/relationships/oleObject" Target="embeddings/oleObject31.bin"/><Relationship Id="rId60" Type="http://schemas.openxmlformats.org/officeDocument/2006/relationships/image" Target="media/image19.wmf"/><Relationship Id="rId65" Type="http://schemas.openxmlformats.org/officeDocument/2006/relationships/image" Target="media/image21.wmf"/><Relationship Id="rId73" Type="http://schemas.openxmlformats.org/officeDocument/2006/relationships/oleObject" Target="embeddings/oleObject44.bin"/><Relationship Id="rId78" Type="http://schemas.openxmlformats.org/officeDocument/2006/relationships/oleObject" Target="embeddings/oleObject48.bin"/><Relationship Id="rId81" Type="http://schemas.openxmlformats.org/officeDocument/2006/relationships/oleObject" Target="embeddings/oleObject51.bin"/><Relationship Id="rId86" Type="http://schemas.openxmlformats.org/officeDocument/2006/relationships/oleObject" Target="embeddings/oleObject54.bin"/><Relationship Id="rId4" Type="http://schemas.openxmlformats.org/officeDocument/2006/relationships/styles" Target="style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8.bin"/><Relationship Id="rId39" Type="http://schemas.openxmlformats.org/officeDocument/2006/relationships/oleObject" Target="embeddings/oleObject20.bin"/><Relationship Id="rId34" Type="http://schemas.openxmlformats.org/officeDocument/2006/relationships/oleObject" Target="embeddings/oleObject18.bin"/><Relationship Id="rId50" Type="http://schemas.openxmlformats.org/officeDocument/2006/relationships/oleObject" Target="embeddings/oleObject30.bin"/><Relationship Id="rId55" Type="http://schemas.openxmlformats.org/officeDocument/2006/relationships/oleObject" Target="embeddings/oleObject33.bin"/><Relationship Id="rId76" Type="http://schemas.openxmlformats.org/officeDocument/2006/relationships/oleObject" Target="embeddings/oleObject46.bin"/><Relationship Id="rId7" Type="http://schemas.openxmlformats.org/officeDocument/2006/relationships/image" Target="media/image1.png"/><Relationship Id="rId71" Type="http://schemas.openxmlformats.org/officeDocument/2006/relationships/oleObject" Target="embeddings/oleObject42.bin"/><Relationship Id="rId2" Type="http://schemas.openxmlformats.org/officeDocument/2006/relationships/customXml" Target="../customXml/item2.xml"/><Relationship Id="rId29" Type="http://schemas.openxmlformats.org/officeDocument/2006/relationships/image" Target="media/image9.wmf"/><Relationship Id="rId24" Type="http://schemas.openxmlformats.org/officeDocument/2006/relationships/image" Target="media/image7.wmf"/><Relationship Id="rId40" Type="http://schemas.openxmlformats.org/officeDocument/2006/relationships/oleObject" Target="embeddings/oleObject21.bin"/><Relationship Id="rId45" Type="http://schemas.openxmlformats.org/officeDocument/2006/relationships/oleObject" Target="embeddings/oleObject26.bin"/><Relationship Id="rId66" Type="http://schemas.openxmlformats.org/officeDocument/2006/relationships/oleObject" Target="embeddings/oleObject39.bin"/><Relationship Id="rId87" Type="http://schemas.openxmlformats.org/officeDocument/2006/relationships/fontTable" Target="fontTable.xml"/><Relationship Id="rId61" Type="http://schemas.openxmlformats.org/officeDocument/2006/relationships/oleObject" Target="embeddings/oleObject36.bin"/><Relationship Id="rId82" Type="http://schemas.openxmlformats.org/officeDocument/2006/relationships/oleObject" Target="embeddings/oleObject5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FCAB47-97C9-4385-83FA-1B0257BFE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4986</Words>
  <Characters>28425</Characters>
  <Application>Microsoft Office Word</Application>
  <DocSecurity>0</DocSecurity>
  <Lines>236</Lines>
  <Paragraphs>66</Paragraphs>
  <ScaleCrop>false</ScaleCrop>
  <Company/>
  <LinksUpToDate>false</LinksUpToDate>
  <CharactersWithSpaces>33345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张楠10184108</dc:creator>
  <cp:lastModifiedBy>张楠</cp:lastModifiedBy>
  <cp:revision>73</cp:revision>
  <dcterms:created xsi:type="dcterms:W3CDTF">2021-08-05T12:19:00Z</dcterms:created>
  <dcterms:modified xsi:type="dcterms:W3CDTF">2021-11-05T14:16:00Z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